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56389936"/>
        <w:docPartObj>
          <w:docPartGallery w:val="Cover Pages"/>
          <w:docPartUnique/>
        </w:docPartObj>
      </w:sdtPr>
      <w:sdtEndPr>
        <w:rPr>
          <w:rFonts w:asciiTheme="minorHAnsi" w:eastAsiaTheme="minorEastAsia" w:hAnsiTheme="minorHAnsi" w:cstheme="minorBidi"/>
          <w:b w:val="0"/>
          <w:bCs w:val="0"/>
          <w:sz w:val="22"/>
          <w:szCs w:val="22"/>
          <w:u w:val="none"/>
          <w:lang w:eastAsia="en-US"/>
        </w:rPr>
      </w:sdtEndPr>
      <w:sdtContent>
        <w:p w:rsidR="00B02BE7" w:rsidRDefault="00B02BE7" w:rsidP="007D2973">
          <w:pPr>
            <w:pStyle w:val="Nzev"/>
            <w:spacing w:line="276" w:lineRule="auto"/>
            <w:ind w:firstLine="360"/>
          </w:pPr>
          <w:r w:rsidRPr="00CB39D5">
            <w:rPr>
              <w:rFonts w:asciiTheme="minorHAnsi" w:eastAsiaTheme="majorEastAsia" w:hAnsiTheme="minorHAnsi" w:cstheme="majorBidi"/>
              <w:noProof/>
              <w:sz w:val="22"/>
              <w:szCs w:val="22"/>
              <w:lang w:eastAsia="en-US"/>
            </w:rPr>
            <w:pict>
              <v:rect id="_x0000_s1026" style="position:absolute;left:0;text-align:left;margin-left:0;margin-top:0;width:624.15pt;height:62.9pt;z-index:251654144;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B39D5">
            <w:rPr>
              <w:rFonts w:asciiTheme="minorHAnsi" w:eastAsiaTheme="majorEastAsia" w:hAnsiTheme="minorHAnsi" w:cstheme="majorBidi"/>
              <w:noProof/>
              <w:sz w:val="22"/>
              <w:szCs w:val="22"/>
              <w:lang w:eastAsia="en-US"/>
            </w:rPr>
            <w:pict>
              <v:rect id="_x0000_s1029" style="position:absolute;left:0;text-align:left;margin-left:0;margin-top:0;width:7.15pt;height:883.1pt;z-index:251657216;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B39D5">
            <w:rPr>
              <w:rFonts w:asciiTheme="minorHAnsi" w:eastAsiaTheme="majorEastAsia" w:hAnsiTheme="minorHAnsi" w:cstheme="majorBidi"/>
              <w:noProof/>
              <w:sz w:val="22"/>
              <w:szCs w:val="22"/>
              <w:lang w:eastAsia="en-US"/>
            </w:rPr>
            <w:pict>
              <v:rect id="_x0000_s1028" style="position:absolute;left:0;text-align:left;margin-left:0;margin-top:0;width:7.15pt;height:883.1pt;z-index:251656192;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B39D5">
            <w:rPr>
              <w:rFonts w:asciiTheme="minorHAnsi" w:eastAsiaTheme="majorEastAsia" w:hAnsiTheme="minorHAnsi" w:cstheme="majorBidi"/>
              <w:noProof/>
              <w:sz w:val="22"/>
              <w:szCs w:val="22"/>
              <w:lang w:eastAsia="en-US"/>
            </w:rPr>
            <w:pict>
              <v:rect id="_x0000_s1027" style="position:absolute;left:0;text-align:left;margin-left:0;margin-top:0;width:624.15pt;height:62.9pt;z-index:251655168;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r>
            <w:t>Západočeská univerzita v Plzni</w:t>
          </w: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pStyle w:val="Nadpis1"/>
            <w:spacing w:line="276" w:lineRule="auto"/>
            <w:ind w:firstLine="360"/>
            <w:jc w:val="center"/>
            <w:rPr>
              <w:sz w:val="24"/>
            </w:rPr>
          </w:pPr>
          <w:r>
            <w:rPr>
              <w:sz w:val="24"/>
            </w:rPr>
            <w:t>Fakulta právnická</w:t>
          </w: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spacing w:line="276" w:lineRule="auto"/>
            <w:jc w:val="center"/>
          </w:pPr>
        </w:p>
        <w:p w:rsidR="00B02BE7" w:rsidRDefault="00B02BE7" w:rsidP="007D2973">
          <w:pPr>
            <w:pStyle w:val="Nadpis2"/>
            <w:spacing w:line="276" w:lineRule="auto"/>
            <w:ind w:firstLine="360"/>
            <w:jc w:val="center"/>
            <w:rPr>
              <w:sz w:val="24"/>
            </w:rPr>
          </w:pPr>
        </w:p>
        <w:p w:rsidR="00B02BE7" w:rsidRDefault="00B02BE7" w:rsidP="007D2973">
          <w:pPr>
            <w:spacing w:line="276" w:lineRule="auto"/>
            <w:jc w:val="center"/>
          </w:pPr>
        </w:p>
        <w:p w:rsidR="00B02BE7" w:rsidRPr="005B0F94" w:rsidRDefault="00B02BE7" w:rsidP="007D2973">
          <w:pPr>
            <w:spacing w:line="276" w:lineRule="auto"/>
            <w:jc w:val="center"/>
          </w:pPr>
        </w:p>
        <w:p w:rsidR="00B02BE7" w:rsidRDefault="00B02BE7" w:rsidP="007D2973">
          <w:pPr>
            <w:pStyle w:val="Nadpis2"/>
            <w:spacing w:line="276" w:lineRule="auto"/>
            <w:ind w:firstLine="360"/>
            <w:jc w:val="center"/>
            <w:rPr>
              <w:sz w:val="24"/>
            </w:rPr>
          </w:pPr>
        </w:p>
        <w:p w:rsidR="00B02BE7" w:rsidRDefault="00B02BE7" w:rsidP="007D2973">
          <w:pPr>
            <w:pStyle w:val="Nadpis2"/>
            <w:spacing w:line="276" w:lineRule="auto"/>
            <w:ind w:firstLine="360"/>
            <w:jc w:val="center"/>
            <w:rPr>
              <w:sz w:val="24"/>
            </w:rPr>
          </w:pPr>
          <w:r>
            <w:rPr>
              <w:sz w:val="24"/>
            </w:rPr>
            <w:t>Obchodní právo</w:t>
          </w:r>
        </w:p>
        <w:p w:rsidR="00B02BE7" w:rsidRDefault="00B02BE7" w:rsidP="007D2973">
          <w:pPr>
            <w:pStyle w:val="Bezmezer"/>
            <w:spacing w:line="276" w:lineRule="auto"/>
            <w:rPr>
              <w:rFonts w:asciiTheme="majorHAnsi" w:eastAsiaTheme="majorEastAsia" w:hAnsiTheme="majorHAnsi" w:cstheme="majorBidi"/>
              <w:sz w:val="72"/>
              <w:szCs w:val="72"/>
            </w:rPr>
          </w:pPr>
          <w:r w:rsidRPr="00CB39D5">
            <w:rPr>
              <w:rFonts w:eastAsiaTheme="majorEastAsia" w:cstheme="majorBidi"/>
              <w:noProof/>
            </w:rPr>
            <w:pict>
              <v:rect id="_x0000_s1030" style="position:absolute;margin-left:0;margin-top:0;width:624.15pt;height:62.85pt;z-index:251658240;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CB39D5">
            <w:rPr>
              <w:rFonts w:eastAsiaTheme="majorEastAsia" w:cstheme="majorBidi"/>
              <w:noProof/>
            </w:rPr>
            <w:pict>
              <v:rect id="_x0000_s1033" style="position:absolute;margin-left:0;margin-top:0;width:7.15pt;height:883.1pt;z-index:251661312;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CB39D5">
            <w:rPr>
              <w:rFonts w:eastAsiaTheme="majorEastAsia" w:cstheme="majorBidi"/>
              <w:noProof/>
            </w:rPr>
            <w:pict>
              <v:rect id="_x0000_s1032" style="position:absolute;margin-left:0;margin-top:0;width:7.15pt;height:883.1pt;z-index:251660288;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CB39D5">
            <w:rPr>
              <w:rFonts w:eastAsiaTheme="majorEastAsia" w:cstheme="majorBidi"/>
              <w:noProof/>
            </w:rPr>
            <w:pict>
              <v:rect id="_x0000_s1031" style="position:absolute;margin-left:0;margin-top:0;width:624.15pt;height:62.95pt;z-index:251659264;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Arial Black" w:hAnsi="Arial Black" w:cs="Arial"/>
              <w:caps/>
              <w:color w:val="000000"/>
              <w:sz w:val="28"/>
              <w:szCs w:val="28"/>
            </w:rPr>
            <w:alias w:val="Název"/>
            <w:id w:val="14700071"/>
            <w:dataBinding w:prefixMappings="xmlns:ns0='http://schemas.openxmlformats.org/package/2006/metadata/core-properties' xmlns:ns1='http://purl.org/dc/elements/1.1/'" w:xpath="/ns0:coreProperties[1]/ns1:title[1]" w:storeItemID="{6C3C8BC8-F283-45AE-878A-BAB7291924A1}"/>
            <w:text/>
          </w:sdtPr>
          <w:sdtContent>
            <w:p w:rsidR="00B02BE7" w:rsidRDefault="00020D3E" w:rsidP="007D2973">
              <w:pPr>
                <w:pStyle w:val="Bezmezer"/>
                <w:spacing w:line="276" w:lineRule="auto"/>
                <w:jc w:val="center"/>
                <w:rPr>
                  <w:rFonts w:asciiTheme="majorHAnsi" w:eastAsiaTheme="majorEastAsia" w:hAnsiTheme="majorHAnsi" w:cstheme="majorBidi"/>
                  <w:sz w:val="72"/>
                  <w:szCs w:val="72"/>
                </w:rPr>
              </w:pPr>
              <w:r>
                <w:rPr>
                  <w:rFonts w:ascii="Arial Black" w:hAnsi="Arial Black" w:cs="Arial"/>
                  <w:caps/>
                  <w:sz w:val="28"/>
                  <w:szCs w:val="28"/>
                </w:rPr>
                <w:t>Směnka vlastní</w:t>
              </w:r>
            </w:p>
          </w:sdtContent>
        </w:sdt>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p w:rsidR="00B02BE7" w:rsidRDefault="00B02BE7" w:rsidP="007D2973">
          <w:pPr>
            <w:pStyle w:val="Bezmezer"/>
            <w:spacing w:line="276" w:lineRule="auto"/>
            <w:rPr>
              <w:rFonts w:asciiTheme="majorHAnsi" w:eastAsiaTheme="majorEastAsia" w:hAnsiTheme="majorHAnsi" w:cstheme="majorBidi"/>
              <w:sz w:val="36"/>
              <w:szCs w:val="36"/>
            </w:rPr>
          </w:pPr>
        </w:p>
        <w:sdt>
          <w:sdtPr>
            <w:alias w:val="Společnost"/>
            <w:id w:val="14700089"/>
            <w:dataBinding w:prefixMappings="xmlns:ns0='http://schemas.openxmlformats.org/officeDocument/2006/extended-properties'" w:xpath="/ns0:Properties[1]/ns0:Company[1]" w:storeItemID="{6668398D-A668-4E3E-A5EB-62B293D839F1}"/>
            <w:text/>
          </w:sdtPr>
          <w:sdtContent>
            <w:p w:rsidR="00B02BE7" w:rsidRDefault="00020D3E" w:rsidP="007D2973">
              <w:pPr>
                <w:pStyle w:val="Bezmezer"/>
                <w:spacing w:line="276" w:lineRule="auto"/>
              </w:pPr>
              <w:r>
                <w:t>V Plzni</w:t>
              </w:r>
            </w:p>
          </w:sdtContent>
        </w:sdt>
        <w:sdt>
          <w:sdtPr>
            <w:alias w:val="Datum"/>
            <w:id w:val="14700083"/>
            <w:dataBinding w:prefixMappings="xmlns:ns0='http://schemas.microsoft.com/office/2006/coverPageProps'" w:xpath="/ns0:CoverPageProperties[1]/ns0:PublishDate[1]" w:storeItemID="{55AF091B-3C7A-41E3-B477-F2FDAA23CFDA}"/>
            <w:date w:fullDate="2009-10-20T00:00:00Z">
              <w:dateFormat w:val="d.M.yyyy"/>
              <w:lid w:val="cs-CZ"/>
              <w:storeMappedDataAs w:val="dateTime"/>
              <w:calendar w:val="gregorian"/>
            </w:date>
          </w:sdtPr>
          <w:sdtContent>
            <w:p w:rsidR="00B02BE7" w:rsidRDefault="00020D3E" w:rsidP="007D2973">
              <w:pPr>
                <w:pStyle w:val="Bezmezer"/>
                <w:spacing w:line="276" w:lineRule="auto"/>
              </w:pPr>
              <w:r>
                <w:t>20.10.2009</w:t>
              </w:r>
            </w:p>
          </w:sdtContent>
        </w:sdt>
        <w:p w:rsidR="00B02BE7" w:rsidRDefault="00B02BE7" w:rsidP="007D2973">
          <w:pPr>
            <w:pStyle w:val="Bezmezer"/>
            <w:spacing w:line="276" w:lineRule="auto"/>
          </w:pPr>
          <w:r>
            <w:t xml:space="preserve">Zpracovala: </w:t>
          </w:r>
          <w:sdt>
            <w:sdtPr>
              <w:alias w:val="Autor"/>
              <w:id w:val="14700094"/>
              <w:dataBinding w:prefixMappings="xmlns:ns0='http://schemas.openxmlformats.org/package/2006/metadata/core-properties' xmlns:ns1='http://purl.org/dc/elements/1.1/'" w:xpath="/ns0:coreProperties[1]/ns1:creator[1]" w:storeItemID="{6C3C8BC8-F283-45AE-878A-BAB7291924A1}"/>
              <w:text/>
            </w:sdtPr>
            <w:sdtContent>
              <w:r w:rsidR="00020D3E">
                <w:t>Eliška</w:t>
              </w:r>
            </w:sdtContent>
          </w:sdt>
          <w:r>
            <w:t xml:space="preserve"> Smetanová</w:t>
          </w:r>
        </w:p>
      </w:sdtContent>
    </w:sdt>
    <w:p w:rsidR="00B02BE7" w:rsidRDefault="00B02BE7" w:rsidP="007D2973">
      <w:pPr>
        <w:pStyle w:val="Nadpis2"/>
        <w:spacing w:line="276" w:lineRule="auto"/>
        <w:ind w:firstLine="360"/>
        <w:jc w:val="center"/>
      </w:pPr>
      <w:r>
        <w:lastRenderedPageBreak/>
        <w:t>Obsah</w:t>
      </w:r>
    </w:p>
    <w:p w:rsidR="00B02BE7" w:rsidRPr="00B05BC4" w:rsidRDefault="00B02BE7" w:rsidP="007D2973">
      <w:pPr>
        <w:pStyle w:val="Podtitul"/>
        <w:spacing w:line="276" w:lineRule="auto"/>
        <w:jc w:val="both"/>
      </w:pPr>
    </w:p>
    <w:p w:rsidR="00B02BE7" w:rsidRDefault="00B02BE7" w:rsidP="007D2973">
      <w:pPr>
        <w:tabs>
          <w:tab w:val="left" w:pos="5954"/>
        </w:tabs>
        <w:spacing w:line="276" w:lineRule="auto"/>
        <w:jc w:val="both"/>
      </w:pPr>
      <w:r>
        <w:t>Úvod…………………………………………………………………………………………. 3</w:t>
      </w:r>
    </w:p>
    <w:p w:rsidR="00B02BE7" w:rsidRDefault="00B02BE7" w:rsidP="007D2973">
      <w:pPr>
        <w:tabs>
          <w:tab w:val="left" w:pos="5954"/>
        </w:tabs>
        <w:spacing w:line="276" w:lineRule="auto"/>
        <w:jc w:val="both"/>
      </w:pPr>
      <w:r>
        <w:t>Příkaz podle správního řádu………………………….……………………………… 4</w:t>
      </w:r>
    </w:p>
    <w:p w:rsidR="00B02BE7" w:rsidRDefault="00B02BE7" w:rsidP="007D2973">
      <w:pPr>
        <w:tabs>
          <w:tab w:val="left" w:pos="5954"/>
        </w:tabs>
        <w:spacing w:line="276" w:lineRule="auto"/>
        <w:jc w:val="both"/>
      </w:pPr>
      <w:r>
        <w:t>Příkaz podle přestupkového zákona……….………………….………………………6</w:t>
      </w:r>
    </w:p>
    <w:p w:rsidR="00B02BE7" w:rsidRDefault="00B02BE7" w:rsidP="007D2973">
      <w:pPr>
        <w:tabs>
          <w:tab w:val="left" w:pos="5954"/>
        </w:tabs>
        <w:spacing w:line="276" w:lineRule="auto"/>
        <w:jc w:val="both"/>
      </w:pPr>
      <w:r>
        <w:t>Opravný prostředek…………………………………………………….…………………7</w:t>
      </w:r>
    </w:p>
    <w:p w:rsidR="00B02BE7" w:rsidRDefault="00B02BE7" w:rsidP="007D2973">
      <w:pPr>
        <w:tabs>
          <w:tab w:val="left" w:pos="5954"/>
        </w:tabs>
        <w:spacing w:line="276" w:lineRule="auto"/>
        <w:jc w:val="both"/>
      </w:pPr>
      <w:r>
        <w:t>Společné prvky.………………………………………………………………….…… 9</w:t>
      </w:r>
    </w:p>
    <w:p w:rsidR="00B02BE7" w:rsidRDefault="00B02BE7" w:rsidP="007D2973">
      <w:pPr>
        <w:tabs>
          <w:tab w:val="left" w:pos="5954"/>
        </w:tabs>
        <w:spacing w:line="276" w:lineRule="auto"/>
        <w:jc w:val="both"/>
      </w:pPr>
      <w:r>
        <w:t>Rozdílné prvky…………………………………………………………………………10</w:t>
      </w:r>
    </w:p>
    <w:p w:rsidR="00B02BE7" w:rsidRPr="00A0552B" w:rsidRDefault="00B02BE7" w:rsidP="007D2973">
      <w:pPr>
        <w:tabs>
          <w:tab w:val="left" w:pos="5954"/>
        </w:tabs>
        <w:spacing w:line="276" w:lineRule="auto"/>
        <w:jc w:val="both"/>
      </w:pPr>
      <w:r>
        <w:t>Závěr……………………………………………………………………………………. …11</w:t>
      </w:r>
    </w:p>
    <w:p w:rsidR="00B02BE7" w:rsidRPr="00A0552B" w:rsidRDefault="00B02BE7" w:rsidP="007D2973">
      <w:pPr>
        <w:tabs>
          <w:tab w:val="left" w:pos="5954"/>
        </w:tabs>
        <w:spacing w:line="276" w:lineRule="auto"/>
        <w:jc w:val="both"/>
      </w:pPr>
      <w:r>
        <w:t>Seznam použité literatury……………………………………………………………12</w:t>
      </w:r>
    </w:p>
    <w:p w:rsidR="00B02BE7" w:rsidRPr="00E064DA" w:rsidRDefault="00B02BE7" w:rsidP="007D2973">
      <w:pPr>
        <w:pStyle w:val="Nadpis2"/>
        <w:spacing w:line="276" w:lineRule="auto"/>
        <w:jc w:val="center"/>
        <w:rPr>
          <w:rFonts w:ascii="Bookman Old Style" w:hAnsi="Bookman Old Style"/>
          <w:b w:val="0"/>
          <w:i w:val="0"/>
          <w:sz w:val="32"/>
        </w:rPr>
      </w:pPr>
      <w:r>
        <w:br w:type="page"/>
      </w:r>
      <w:r w:rsidRPr="00E064DA">
        <w:rPr>
          <w:rFonts w:ascii="Bookman Old Style" w:hAnsi="Bookman Old Style"/>
          <w:b w:val="0"/>
          <w:i w:val="0"/>
          <w:sz w:val="32"/>
        </w:rPr>
        <w:lastRenderedPageBreak/>
        <w:t>ÚVOD</w:t>
      </w:r>
    </w:p>
    <w:p w:rsidR="00B02BE7" w:rsidRDefault="00B02BE7" w:rsidP="007D2973">
      <w:pPr>
        <w:spacing w:line="276" w:lineRule="auto"/>
        <w:jc w:val="both"/>
      </w:pPr>
    </w:p>
    <w:p w:rsidR="00B02BE7" w:rsidRPr="00E1243C" w:rsidRDefault="00B02BE7" w:rsidP="007D2973">
      <w:pPr>
        <w:spacing w:line="276" w:lineRule="auto"/>
        <w:ind w:firstLine="360"/>
        <w:jc w:val="both"/>
      </w:pPr>
      <w:r>
        <w:t xml:space="preserve">Seminární práci z předmětu obchodní právo jsem vypracovala na téma </w:t>
      </w:r>
      <w:r>
        <w:rPr>
          <w:rFonts w:cs="Arial"/>
          <w:color w:val="000000"/>
        </w:rPr>
        <w:t>Směnka vlastní</w:t>
      </w:r>
      <w:r w:rsidRPr="00E1243C">
        <w:t>.</w:t>
      </w:r>
    </w:p>
    <w:p w:rsidR="00B02BE7" w:rsidRDefault="00B02BE7" w:rsidP="007D2973">
      <w:pPr>
        <w:spacing w:line="276" w:lineRule="auto"/>
        <w:ind w:firstLine="360"/>
        <w:jc w:val="both"/>
      </w:pPr>
      <w:r>
        <w:t>V práci jsem se snažila objasnit a vymezit institut finančního zajištění a vysvětlit pojmy spojené s tímto institutem, dále je rozebrána směrnice Evropského parlamentu a Rady, o finančním zajištění, jaké byly její cile a jak byla úspěšná implementace do tuzemského práva, následuje charakteristika finančního zajištění s popisem, kde se využívá, komu je určeno a jaké jsou podmínky jeho využití.</w:t>
      </w:r>
    </w:p>
    <w:p w:rsidR="00B02BE7" w:rsidRDefault="00B02BE7" w:rsidP="007D2973">
      <w:pPr>
        <w:spacing w:line="276" w:lineRule="auto"/>
        <w:ind w:firstLine="360"/>
        <w:jc w:val="both"/>
      </w:pPr>
    </w:p>
    <w:p w:rsidR="00B02BE7" w:rsidRDefault="00B02BE7" w:rsidP="007D2973">
      <w:pPr>
        <w:spacing w:line="276" w:lineRule="auto"/>
        <w:ind w:firstLine="360"/>
        <w:jc w:val="both"/>
      </w:pPr>
    </w:p>
    <w:p w:rsidR="00B02BE7" w:rsidRDefault="00B02BE7" w:rsidP="007D2973">
      <w:pPr>
        <w:spacing w:line="276" w:lineRule="auto"/>
        <w:ind w:firstLine="360"/>
        <w:jc w:val="both"/>
      </w:pPr>
      <w:r>
        <w:t xml:space="preserve">Práci jsem si rozvrhla následovně: </w:t>
      </w:r>
    </w:p>
    <w:p w:rsidR="00B02BE7" w:rsidRDefault="00B02BE7" w:rsidP="007D2973">
      <w:pPr>
        <w:spacing w:line="276" w:lineRule="auto"/>
        <w:ind w:firstLine="360"/>
        <w:jc w:val="both"/>
      </w:pPr>
      <w:r>
        <w:t>V prvních x kapitolách je popsán význam finančního zajištění a jsou zde vysvětleny pojmy užívané v souvislosti s finančním zajištěním. Dále je rozebrána směrnice Evropského parlamentu a Rady, o finančním zajištění a její začlenění do tuzemského práva.</w:t>
      </w:r>
    </w:p>
    <w:p w:rsidR="00B02BE7" w:rsidRDefault="00B02BE7" w:rsidP="007D2973">
      <w:pPr>
        <w:spacing w:line="276" w:lineRule="auto"/>
        <w:ind w:firstLine="360"/>
        <w:jc w:val="both"/>
      </w:pPr>
      <w:r>
        <w:t>Další část práce je věnována způsobům finančního zajištění.</w:t>
      </w:r>
    </w:p>
    <w:p w:rsidR="00B02BE7" w:rsidRDefault="00B02BE7" w:rsidP="007D2973">
      <w:pPr>
        <w:spacing w:line="276" w:lineRule="auto"/>
        <w:ind w:firstLine="360"/>
        <w:jc w:val="both"/>
      </w:pPr>
      <w:r>
        <w:t>V závěru je shrnutí celé práce.</w:t>
      </w:r>
    </w:p>
    <w:p w:rsidR="00E72D60" w:rsidRPr="00BE3B86" w:rsidRDefault="00B02BE7" w:rsidP="007D2973">
      <w:pPr>
        <w:spacing w:after="200" w:line="276" w:lineRule="auto"/>
        <w:jc w:val="both"/>
        <w:rPr>
          <w:color w:val="FF0000"/>
        </w:rPr>
      </w:pPr>
      <w:r w:rsidRPr="00E72D60">
        <w:rPr>
          <w:b/>
        </w:rPr>
        <w:br w:type="page"/>
      </w:r>
    </w:p>
    <w:p w:rsidR="00BE3B86" w:rsidRDefault="00BE3B86" w:rsidP="00BE3B86">
      <w:pPr>
        <w:pStyle w:val="Nzev"/>
        <w:numPr>
          <w:ilvl w:val="0"/>
          <w:numId w:val="6"/>
        </w:numPr>
      </w:pPr>
      <w:r>
        <w:lastRenderedPageBreak/>
        <w:t>Co je to směnka</w:t>
      </w:r>
    </w:p>
    <w:p w:rsidR="00BE3B86" w:rsidRDefault="00BE3B86" w:rsidP="00020D3E">
      <w:pPr>
        <w:spacing w:before="240" w:after="200" w:line="276" w:lineRule="auto"/>
        <w:jc w:val="both"/>
      </w:pPr>
      <w:r>
        <w:t xml:space="preserve">Legální definici směnky bychom hledali marně. </w:t>
      </w:r>
      <w:r w:rsidR="00020D3E">
        <w:t>Směnečný a šekový zákon</w:t>
      </w:r>
      <w:r w:rsidR="00020D3E">
        <w:rPr>
          <w:rStyle w:val="Znakapoznpodarou"/>
        </w:rPr>
        <w:footnoteReference w:id="2"/>
      </w:r>
      <w:r>
        <w:t xml:space="preserve"> </w:t>
      </w:r>
      <w:r w:rsidR="00020D3E">
        <w:t xml:space="preserve">(dále jen SŠZ) </w:t>
      </w:r>
      <w:r>
        <w:t xml:space="preserve">začíná rovnou výčtem náležitostí cizí směnky a ustanovení §1 </w:t>
      </w:r>
      <w:r w:rsidR="00020D3E">
        <w:t>zákona o cenných papírech</w:t>
      </w:r>
      <w:r w:rsidR="00020D3E">
        <w:rPr>
          <w:rStyle w:val="Znakapoznpodarou"/>
        </w:rPr>
        <w:footnoteReference w:id="3"/>
      </w:r>
      <w:r>
        <w:t xml:space="preserve"> </w:t>
      </w:r>
      <w:r w:rsidR="00020D3E">
        <w:t xml:space="preserve">(dále jen CenP) </w:t>
      </w:r>
      <w:r>
        <w:t>pouze prohlašuje směnku za cenný papír.</w:t>
      </w:r>
    </w:p>
    <w:p w:rsidR="00BE3B86" w:rsidRDefault="00BE3B86" w:rsidP="00BE3B86">
      <w:pPr>
        <w:spacing w:after="200" w:line="276" w:lineRule="auto"/>
        <w:jc w:val="both"/>
      </w:pPr>
      <w:r>
        <w:t>Směnku můžeme definovat jako zákonný cenný papír na řad, se zákonem předepsaným obsahem, ve kterém jeho výstavce buď sám slibuje, že zaplatí jiné osobě určitou peněžitou částku (vlastní směnka) nebo platit určité osobě přikazuje (cizí směnka)</w:t>
      </w:r>
      <w:r w:rsidR="00020D3E">
        <w:t>.</w:t>
      </w:r>
    </w:p>
    <w:p w:rsidR="00020D3E" w:rsidRDefault="00020D3E" w:rsidP="00020D3E">
      <w:pPr>
        <w:spacing w:after="240" w:line="276" w:lineRule="auto"/>
        <w:jc w:val="both"/>
      </w:pPr>
      <w:r>
        <w:t>Jako kterýkoliv jiný cenný papír podléhá i směnka obecnému režimu cenných papírů podle zákona o cenných papírech (srov. §1/1 CenP). SŠZ je ve vztahu k CenP lex specialis, úprava v SŠZ bude tedy aplikována přednostně.</w:t>
      </w:r>
    </w:p>
    <w:p w:rsidR="00020D3E" w:rsidRPr="00E72D60" w:rsidRDefault="00020D3E" w:rsidP="00020D3E">
      <w:pPr>
        <w:pStyle w:val="Nadpis2"/>
        <w:numPr>
          <w:ilvl w:val="1"/>
          <w:numId w:val="6"/>
        </w:numPr>
      </w:pPr>
      <w:r w:rsidRPr="00E72D60">
        <w:t>Geneze směnky</w:t>
      </w:r>
    </w:p>
    <w:p w:rsidR="00020D3E" w:rsidRPr="00020D3E" w:rsidRDefault="00020D3E" w:rsidP="00020D3E">
      <w:pPr>
        <w:spacing w:before="240" w:after="200" w:line="276" w:lineRule="auto"/>
        <w:jc w:val="both"/>
      </w:pPr>
      <w:r w:rsidRPr="00020D3E">
        <w:t>Všeobecně se má za to, že listiny podobné dnešním směnkám se poprvé objevují ve 12. století v severoitalských městských republikách. Kupec cestující do cizího města obdržel oproti domácí měně od svého bankéře příslib, že buď on sám, nebo jeho obchodní partner v platebním místě zaplatí určenou částku přímo obchodníkovi nebo na jeho „řád“, tj. té osobě, kterou tento věřitel určí. Kupec se tak vydával na cestu vybaven listinou, která mu byla příslibem, že v příslušném místě obdrží sumu v tamní měně. V počátcích svého vývoje plnila tedy směna funkce, které dnes přísluší cestovním šekům.</w:t>
      </w:r>
    </w:p>
    <w:p w:rsidR="00020D3E" w:rsidRPr="00020D3E" w:rsidRDefault="00020D3E" w:rsidP="00020D3E">
      <w:pPr>
        <w:spacing w:before="240" w:line="276" w:lineRule="auto"/>
        <w:jc w:val="both"/>
      </w:pPr>
      <w:r w:rsidRPr="00020D3E">
        <w:t xml:space="preserve">Listinu popsanou ve shora uvedeném příkladě lze již označit za předchůdce směnky vlastní, tj. směnky, jejíž podstatou je vlastní slib jejího výstavce směřující k zaplacení určitě peněžité částky. </w:t>
      </w:r>
    </w:p>
    <w:p w:rsidR="00BE3B86" w:rsidRPr="00BE3B86" w:rsidRDefault="00BE3B86" w:rsidP="00BE3B86">
      <w:pPr>
        <w:pStyle w:val="Nadpis2"/>
        <w:numPr>
          <w:ilvl w:val="1"/>
          <w:numId w:val="6"/>
        </w:numPr>
      </w:pPr>
      <w:r>
        <w:t>Zahraniční právní úprava směnky</w:t>
      </w:r>
    </w:p>
    <w:p w:rsidR="008E7EDB" w:rsidRDefault="008E7EDB" w:rsidP="00BE3B86">
      <w:pPr>
        <w:spacing w:before="240" w:after="200" w:line="276" w:lineRule="auto"/>
        <w:jc w:val="both"/>
      </w:pPr>
      <w:r>
        <w:t>Co se týče právní úpravy směnky, směnečné právo se původně vyvíjelo jako místní obyčejové právo. Od 70. Let 19. Století bylo znatelné úsilí o celosvětovou unifikaci směnečného práva. Na dvou Haagských směnečných konferencích (1910 a 1912) byl zpracován návrh smlouvy, která zavazovala smluvní státy k jeho zavedení.</w:t>
      </w:r>
    </w:p>
    <w:p w:rsidR="008E7EDB" w:rsidRDefault="008E7EDB" w:rsidP="007D2973">
      <w:pPr>
        <w:spacing w:after="200" w:line="276" w:lineRule="auto"/>
        <w:jc w:val="both"/>
      </w:pPr>
      <w:r>
        <w:lastRenderedPageBreak/>
        <w:t xml:space="preserve">Úspěšná byla ale až Ženevská konference </w:t>
      </w:r>
      <w:r w:rsidR="005964B6">
        <w:t>konaná v r. 1930. Jejího jednání se účastnilo 31 států a zastoupeno bylo i tehdejší Československo. Výsledkem konference byly 3 úmluvy.</w:t>
      </w:r>
    </w:p>
    <w:p w:rsidR="005964B6" w:rsidRPr="00E72D60" w:rsidRDefault="005964B6" w:rsidP="007D2973">
      <w:pPr>
        <w:pStyle w:val="Odstavecseseznamem"/>
        <w:numPr>
          <w:ilvl w:val="0"/>
          <w:numId w:val="1"/>
        </w:numPr>
        <w:spacing w:after="200" w:line="276" w:lineRule="auto"/>
        <w:jc w:val="both"/>
        <w:rPr>
          <w:i/>
        </w:rPr>
      </w:pPr>
      <w:r w:rsidRPr="00E72D60">
        <w:rPr>
          <w:i/>
        </w:rPr>
        <w:t>Úmluva o jednotném směnečném zákoně</w:t>
      </w:r>
    </w:p>
    <w:p w:rsidR="005964B6" w:rsidRPr="00E72D60" w:rsidRDefault="005964B6" w:rsidP="007D2973">
      <w:pPr>
        <w:pStyle w:val="Odstavecseseznamem"/>
        <w:numPr>
          <w:ilvl w:val="0"/>
          <w:numId w:val="1"/>
        </w:numPr>
        <w:spacing w:after="200" w:line="276" w:lineRule="auto"/>
        <w:jc w:val="both"/>
        <w:rPr>
          <w:i/>
        </w:rPr>
      </w:pPr>
      <w:r w:rsidRPr="00E72D60">
        <w:rPr>
          <w:i/>
        </w:rPr>
        <w:t>Úmluva o střetech zákonů</w:t>
      </w:r>
    </w:p>
    <w:p w:rsidR="005964B6" w:rsidRPr="00E72D60" w:rsidRDefault="005964B6" w:rsidP="007D2973">
      <w:pPr>
        <w:pStyle w:val="Odstavecseseznamem"/>
        <w:numPr>
          <w:ilvl w:val="0"/>
          <w:numId w:val="1"/>
        </w:numPr>
        <w:spacing w:after="200" w:line="276" w:lineRule="auto"/>
        <w:jc w:val="both"/>
        <w:rPr>
          <w:i/>
        </w:rPr>
      </w:pPr>
      <w:r w:rsidRPr="00E72D60">
        <w:rPr>
          <w:i/>
        </w:rPr>
        <w:t>Úmluva o směnečných poplatcích</w:t>
      </w:r>
    </w:p>
    <w:p w:rsidR="005964B6" w:rsidRDefault="005964B6" w:rsidP="007D2973">
      <w:pPr>
        <w:spacing w:after="200" w:line="276" w:lineRule="auto"/>
        <w:jc w:val="both"/>
      </w:pPr>
      <w:r>
        <w:t>Text první úmluvy se týká obvyklých otázek technického charakteru (ratifikace apod.). Z pohledu vlastního směnečného práva jsou zásadní její dvě přílohy. První z nich obsahuje text Jednotného směnečného zákona (JSZ), který upravuje jako směnku vlastní tak i směnku cizí. Druhou přílohu tvoří výhrady, které smluvním stranám v určitých případech dovolují odchýlit se od JSZ.</w:t>
      </w:r>
    </w:p>
    <w:p w:rsidR="00BE3B86" w:rsidRDefault="00BE3B86" w:rsidP="00BE3B86">
      <w:pPr>
        <w:pStyle w:val="Nadpis2"/>
        <w:numPr>
          <w:ilvl w:val="1"/>
          <w:numId w:val="6"/>
        </w:numPr>
      </w:pPr>
      <w:r>
        <w:t>Vnitrostátní právní úprava směnky</w:t>
      </w:r>
    </w:p>
    <w:p w:rsidR="005964B6" w:rsidRDefault="005964B6" w:rsidP="00BE3B86">
      <w:pPr>
        <w:spacing w:before="240" w:after="200" w:line="276" w:lineRule="auto"/>
        <w:jc w:val="both"/>
      </w:pPr>
      <w:r>
        <w:t xml:space="preserve">Na našem území lze za první úpravu směnečného práva považovat směnečný patent ze dne 22. Prosince </w:t>
      </w:r>
      <w:r w:rsidR="00BE5453">
        <w:t xml:space="preserve">1763 vydaný za Marie Terezie, který měl univerzální charakter. Současně s tímto směnečným řádem byly zřízeny i směnečné a obchodní soudy v Praze, Brně a Opavě. V roce 1850 byl v reakci na výsledky Lipské konference zaveden císařským patentem č. 51/1850 ř. z. </w:t>
      </w:r>
      <w:r w:rsidR="00E72D60">
        <w:t>Nový</w:t>
      </w:r>
      <w:r w:rsidR="00BE5453">
        <w:t xml:space="preserve"> směnečný řád. Ten u nás platil s některými změnami až do roku 1928.</w:t>
      </w:r>
    </w:p>
    <w:p w:rsidR="00BE5453" w:rsidRPr="00E72D60" w:rsidRDefault="00BE5453" w:rsidP="007D2973">
      <w:pPr>
        <w:spacing w:after="200" w:line="276" w:lineRule="auto"/>
        <w:jc w:val="both"/>
      </w:pPr>
      <w:r>
        <w:t>Ke sjednocení směnečného práva v rámci Československa došlo až zákonem směnečným č. 1/1928 Sb., který zrušil předchozí směnečné předpisy platné na území</w:t>
      </w:r>
      <w:r w:rsidR="00306D8F">
        <w:t>ch Česka a S</w:t>
      </w:r>
      <w:r>
        <w:t xml:space="preserve">lovenska. Úprava čítající 110 paragrafů byla rozčleněna do čtyř </w:t>
      </w:r>
      <w:r w:rsidRPr="00E72D60">
        <w:t>oddílů, kdy směnka vlastní byla upravena ve třetím oddíle.</w:t>
      </w:r>
    </w:p>
    <w:p w:rsidR="00BE5453" w:rsidRDefault="00BE5453" w:rsidP="007D2973">
      <w:pPr>
        <w:spacing w:after="200" w:line="276" w:lineRule="auto"/>
        <w:jc w:val="both"/>
      </w:pPr>
      <w:r w:rsidRPr="00E72D60">
        <w:t xml:space="preserve">V průběhu protektorátu bylo zavedeno Ženevské směnečné právo. Po válce nebylo jasné, zda </w:t>
      </w:r>
      <w:r w:rsidR="0071180A" w:rsidRPr="00E72D60">
        <w:t>zůstává v platnosti Ženevské směnečné</w:t>
      </w:r>
      <w:r w:rsidR="0071180A">
        <w:t xml:space="preserve"> právo či zda znovu platí československý zákon směnečný. Tento zmatek vyřešil až zákon směnečný a šekový č. 191/1950 (SŠZ) který uvedené předpisy zrušil. Zákon dodnes přetrval v podstatě v nezměněné podobě a novelizován byl zatím pouze dvakrát.</w:t>
      </w:r>
    </w:p>
    <w:p w:rsidR="00E72D60" w:rsidRPr="00577DE0" w:rsidRDefault="00E72D60" w:rsidP="007D2973">
      <w:pPr>
        <w:spacing w:before="240" w:line="276" w:lineRule="auto"/>
        <w:jc w:val="both"/>
      </w:pPr>
      <w:r w:rsidRPr="00577DE0">
        <w:t xml:space="preserve">Úprava směnečného a šekového práva je v České republice sloučena v jednom předpisu a tomuto netradičnímu řešení odpovídá i systematika zákona. ZSŠ je rozdělen do tří samostatně paragrafovaných článků. </w:t>
      </w:r>
    </w:p>
    <w:p w:rsidR="00E72D60" w:rsidRPr="00577DE0" w:rsidRDefault="00E72D60" w:rsidP="007D2973">
      <w:pPr>
        <w:spacing w:before="240" w:line="276" w:lineRule="auto"/>
        <w:jc w:val="both"/>
      </w:pPr>
      <w:r w:rsidRPr="00577DE0">
        <w:t xml:space="preserve">V prvém z nich (§ 1 – 98) jsou upraveny směnky, ve druhém (§ 1 – 75) šeky a třetí článek (§ 1 – 11) se zaměřuje na některé společné otázky (např. aktivní směnečnou a šekovou způsobilost, podpisy zmocněnců a některé jiné projevy </w:t>
      </w:r>
      <w:r w:rsidRPr="00577DE0">
        <w:lastRenderedPageBreak/>
        <w:t>na listinách). Z hlediska směnečného práva má proto význam první a třetí článek.</w:t>
      </w:r>
    </w:p>
    <w:p w:rsidR="00E72D60" w:rsidRPr="00E72D60" w:rsidRDefault="00E72D60" w:rsidP="007D2973">
      <w:pPr>
        <w:spacing w:line="276" w:lineRule="auto"/>
        <w:ind w:firstLine="709"/>
        <w:jc w:val="both"/>
        <w:rPr>
          <w:sz w:val="20"/>
          <w:szCs w:val="20"/>
        </w:rPr>
      </w:pPr>
      <w:r w:rsidRPr="00E72D60">
        <w:rPr>
          <w:sz w:val="20"/>
          <w:szCs w:val="20"/>
        </w:rPr>
        <w:t>První článek se člení na čtyři části rozdělené dále do oddílů:</w:t>
      </w:r>
    </w:p>
    <w:p w:rsidR="00E72D60" w:rsidRPr="00BE3B86" w:rsidRDefault="00E72D60" w:rsidP="007D2973">
      <w:pPr>
        <w:spacing w:line="276" w:lineRule="auto"/>
        <w:ind w:firstLine="709"/>
        <w:jc w:val="both"/>
        <w:rPr>
          <w:b/>
          <w:sz w:val="20"/>
          <w:szCs w:val="20"/>
        </w:rPr>
      </w:pPr>
      <w:r w:rsidRPr="00BE3B86">
        <w:rPr>
          <w:b/>
          <w:sz w:val="20"/>
          <w:szCs w:val="20"/>
        </w:rPr>
        <w:t xml:space="preserve">Část prvá: Směnka cizí (§ 1 – 74) </w:t>
      </w:r>
    </w:p>
    <w:p w:rsidR="00E72D60" w:rsidRPr="00E72D60" w:rsidRDefault="00E72D60" w:rsidP="007D2973">
      <w:pPr>
        <w:spacing w:line="276" w:lineRule="auto"/>
        <w:ind w:firstLine="709"/>
        <w:jc w:val="both"/>
        <w:rPr>
          <w:sz w:val="20"/>
          <w:szCs w:val="20"/>
        </w:rPr>
      </w:pPr>
      <w:r w:rsidRPr="00E72D60">
        <w:rPr>
          <w:sz w:val="20"/>
          <w:szCs w:val="20"/>
        </w:rPr>
        <w:tab/>
        <w:t>Oddíl první: Vystavení a forma cizí směnky (§ 1 – 10)</w:t>
      </w:r>
    </w:p>
    <w:p w:rsidR="00E72D60" w:rsidRPr="00E72D60" w:rsidRDefault="00E72D60" w:rsidP="007D2973">
      <w:pPr>
        <w:spacing w:line="276" w:lineRule="auto"/>
        <w:ind w:firstLine="709"/>
        <w:jc w:val="both"/>
        <w:rPr>
          <w:sz w:val="20"/>
          <w:szCs w:val="20"/>
        </w:rPr>
      </w:pPr>
      <w:r w:rsidRPr="00E72D60">
        <w:rPr>
          <w:sz w:val="20"/>
          <w:szCs w:val="20"/>
        </w:rPr>
        <w:tab/>
        <w:t>Oddíl druhý: Indosament (§ 11 – 20)</w:t>
      </w:r>
    </w:p>
    <w:p w:rsidR="00E72D60" w:rsidRPr="00E72D60" w:rsidRDefault="00E72D60" w:rsidP="007D2973">
      <w:pPr>
        <w:spacing w:line="276" w:lineRule="auto"/>
        <w:ind w:firstLine="709"/>
        <w:jc w:val="both"/>
        <w:rPr>
          <w:sz w:val="20"/>
          <w:szCs w:val="20"/>
        </w:rPr>
      </w:pPr>
      <w:r w:rsidRPr="00E72D60">
        <w:rPr>
          <w:sz w:val="20"/>
          <w:szCs w:val="20"/>
        </w:rPr>
        <w:tab/>
        <w:t>Oddíl třetí: Přijetí směnky (§ 21 – 29)</w:t>
      </w:r>
    </w:p>
    <w:p w:rsidR="00E72D60" w:rsidRPr="00E72D60" w:rsidRDefault="00E72D60" w:rsidP="007D2973">
      <w:pPr>
        <w:spacing w:line="276" w:lineRule="auto"/>
        <w:ind w:firstLine="709"/>
        <w:jc w:val="both"/>
        <w:rPr>
          <w:sz w:val="20"/>
          <w:szCs w:val="20"/>
        </w:rPr>
      </w:pPr>
      <w:r w:rsidRPr="00E72D60">
        <w:rPr>
          <w:sz w:val="20"/>
          <w:szCs w:val="20"/>
        </w:rPr>
        <w:tab/>
        <w:t>Oddíl čtvrtý: Směnečné rukojemství (§ 30 – 32)</w:t>
      </w:r>
    </w:p>
    <w:p w:rsidR="00E72D60" w:rsidRPr="00E72D60" w:rsidRDefault="00E72D60" w:rsidP="007D2973">
      <w:pPr>
        <w:spacing w:line="276" w:lineRule="auto"/>
        <w:ind w:firstLine="709"/>
        <w:jc w:val="both"/>
        <w:rPr>
          <w:sz w:val="20"/>
          <w:szCs w:val="20"/>
        </w:rPr>
      </w:pPr>
      <w:r w:rsidRPr="00E72D60">
        <w:rPr>
          <w:sz w:val="20"/>
          <w:szCs w:val="20"/>
        </w:rPr>
        <w:tab/>
        <w:t>Oddíl pátý: Splatnost směnky (§ 33 – 37)</w:t>
      </w:r>
    </w:p>
    <w:p w:rsidR="00E72D60" w:rsidRPr="00E72D60" w:rsidRDefault="00E72D60" w:rsidP="007D2973">
      <w:pPr>
        <w:spacing w:line="276" w:lineRule="auto"/>
        <w:ind w:firstLine="709"/>
        <w:jc w:val="both"/>
        <w:rPr>
          <w:sz w:val="20"/>
          <w:szCs w:val="20"/>
        </w:rPr>
      </w:pPr>
      <w:r w:rsidRPr="00E72D60">
        <w:rPr>
          <w:sz w:val="20"/>
          <w:szCs w:val="20"/>
        </w:rPr>
        <w:tab/>
        <w:t>Oddíl šestý: Placení (§ 38 – 42)</w:t>
      </w:r>
    </w:p>
    <w:p w:rsidR="00E72D60" w:rsidRPr="00E72D60" w:rsidRDefault="00E72D60" w:rsidP="007D2973">
      <w:pPr>
        <w:spacing w:line="276" w:lineRule="auto"/>
        <w:ind w:firstLine="709"/>
        <w:jc w:val="both"/>
        <w:rPr>
          <w:sz w:val="20"/>
          <w:szCs w:val="20"/>
        </w:rPr>
      </w:pPr>
      <w:r w:rsidRPr="00E72D60">
        <w:rPr>
          <w:sz w:val="20"/>
          <w:szCs w:val="20"/>
        </w:rPr>
        <w:tab/>
        <w:t>Oddíl sedmý: Postih pro nepřijetí a pro neplacení (§ 43 – 54)</w:t>
      </w:r>
    </w:p>
    <w:p w:rsidR="00E72D60" w:rsidRPr="00E72D60" w:rsidRDefault="00E72D60" w:rsidP="007D2973">
      <w:pPr>
        <w:spacing w:line="276" w:lineRule="auto"/>
        <w:ind w:firstLine="709"/>
        <w:jc w:val="both"/>
        <w:rPr>
          <w:sz w:val="20"/>
          <w:szCs w:val="20"/>
        </w:rPr>
      </w:pPr>
      <w:r w:rsidRPr="00E72D60">
        <w:rPr>
          <w:sz w:val="20"/>
          <w:szCs w:val="20"/>
        </w:rPr>
        <w:tab/>
        <w:t>Oddíl osmý: Směnečná intervence (§ 55 – 63)</w:t>
      </w:r>
    </w:p>
    <w:p w:rsidR="00E72D60" w:rsidRPr="00E72D60" w:rsidRDefault="00E72D60" w:rsidP="007D2973">
      <w:pPr>
        <w:spacing w:line="276" w:lineRule="auto"/>
        <w:ind w:firstLine="709"/>
        <w:jc w:val="both"/>
        <w:rPr>
          <w:sz w:val="20"/>
          <w:szCs w:val="20"/>
        </w:rPr>
      </w:pPr>
      <w:r w:rsidRPr="00E72D60">
        <w:rPr>
          <w:sz w:val="20"/>
          <w:szCs w:val="20"/>
        </w:rPr>
        <w:tab/>
        <w:t>Oddíl devátý: Směnečné stejnopisy a opisy (§ 64 – 68)</w:t>
      </w:r>
    </w:p>
    <w:p w:rsidR="00E72D60" w:rsidRPr="00E72D60" w:rsidRDefault="00E72D60" w:rsidP="007D2973">
      <w:pPr>
        <w:spacing w:line="276" w:lineRule="auto"/>
        <w:ind w:firstLine="709"/>
        <w:jc w:val="both"/>
        <w:rPr>
          <w:sz w:val="20"/>
          <w:szCs w:val="20"/>
        </w:rPr>
      </w:pPr>
      <w:r w:rsidRPr="00E72D60">
        <w:rPr>
          <w:sz w:val="20"/>
          <w:szCs w:val="20"/>
        </w:rPr>
        <w:tab/>
        <w:t>Oddíl desátý: Změny (§ 69)</w:t>
      </w:r>
    </w:p>
    <w:p w:rsidR="00E72D60" w:rsidRPr="00E72D60" w:rsidRDefault="00E72D60" w:rsidP="007D2973">
      <w:pPr>
        <w:spacing w:line="276" w:lineRule="auto"/>
        <w:ind w:firstLine="709"/>
        <w:jc w:val="both"/>
        <w:rPr>
          <w:sz w:val="20"/>
          <w:szCs w:val="20"/>
        </w:rPr>
      </w:pPr>
      <w:r w:rsidRPr="00E72D60">
        <w:rPr>
          <w:sz w:val="20"/>
          <w:szCs w:val="20"/>
        </w:rPr>
        <w:tab/>
        <w:t>Oddíl jedenáctý: Promlčení (§ 70 – 71)</w:t>
      </w:r>
    </w:p>
    <w:p w:rsidR="00E72D60" w:rsidRPr="00E72D60" w:rsidRDefault="00E72D60" w:rsidP="007D2973">
      <w:pPr>
        <w:spacing w:line="276" w:lineRule="auto"/>
        <w:ind w:firstLine="709"/>
        <w:jc w:val="both"/>
        <w:rPr>
          <w:sz w:val="20"/>
          <w:szCs w:val="20"/>
        </w:rPr>
      </w:pPr>
      <w:r w:rsidRPr="00E72D60">
        <w:rPr>
          <w:sz w:val="20"/>
          <w:szCs w:val="20"/>
        </w:rPr>
        <w:tab/>
        <w:t>Oddíl dvanáctý: Všeobecné předpisy (§ 72 – 74)</w:t>
      </w:r>
    </w:p>
    <w:p w:rsidR="00E72D60" w:rsidRPr="00BE3B86" w:rsidRDefault="00E72D60" w:rsidP="007D2973">
      <w:pPr>
        <w:spacing w:line="276" w:lineRule="auto"/>
        <w:ind w:firstLine="709"/>
        <w:jc w:val="both"/>
        <w:rPr>
          <w:b/>
          <w:sz w:val="20"/>
          <w:szCs w:val="20"/>
        </w:rPr>
      </w:pPr>
      <w:r w:rsidRPr="00BE3B86">
        <w:rPr>
          <w:b/>
          <w:sz w:val="20"/>
          <w:szCs w:val="20"/>
        </w:rPr>
        <w:t>Část druhá: Směnka vlastní (§ 75 – 78)</w:t>
      </w:r>
    </w:p>
    <w:p w:rsidR="00E72D60" w:rsidRPr="00BE3B86" w:rsidRDefault="00E72D60" w:rsidP="007D2973">
      <w:pPr>
        <w:spacing w:line="276" w:lineRule="auto"/>
        <w:ind w:firstLine="709"/>
        <w:jc w:val="both"/>
        <w:rPr>
          <w:b/>
          <w:sz w:val="20"/>
          <w:szCs w:val="20"/>
        </w:rPr>
      </w:pPr>
      <w:r w:rsidRPr="00BE3B86">
        <w:rPr>
          <w:b/>
          <w:sz w:val="20"/>
          <w:szCs w:val="20"/>
        </w:rPr>
        <w:t>Část třetí: Doplňující předpisy (§ 79 – 90)</w:t>
      </w:r>
    </w:p>
    <w:p w:rsidR="00E72D60" w:rsidRPr="00E72D60" w:rsidRDefault="00E72D60" w:rsidP="007D2973">
      <w:pPr>
        <w:spacing w:line="276" w:lineRule="auto"/>
        <w:ind w:firstLine="709"/>
        <w:jc w:val="both"/>
        <w:rPr>
          <w:sz w:val="20"/>
          <w:szCs w:val="20"/>
        </w:rPr>
      </w:pPr>
      <w:r w:rsidRPr="00E72D60">
        <w:rPr>
          <w:sz w:val="20"/>
          <w:szCs w:val="20"/>
        </w:rPr>
        <w:tab/>
        <w:t>Oddíl první: Protest a některé jiné směnečné úkony (§ 79 – 88)</w:t>
      </w:r>
    </w:p>
    <w:p w:rsidR="00E72D60" w:rsidRPr="00E72D60" w:rsidRDefault="00E72D60" w:rsidP="007D2973">
      <w:pPr>
        <w:spacing w:line="276" w:lineRule="auto"/>
        <w:ind w:firstLine="709"/>
        <w:jc w:val="both"/>
        <w:rPr>
          <w:sz w:val="20"/>
          <w:szCs w:val="20"/>
        </w:rPr>
      </w:pPr>
      <w:r w:rsidRPr="00E72D60">
        <w:rPr>
          <w:sz w:val="20"/>
          <w:szCs w:val="20"/>
        </w:rPr>
        <w:tab/>
        <w:t>Oddíl druhý: Obohacení (§ 89)</w:t>
      </w:r>
    </w:p>
    <w:p w:rsidR="00E72D60" w:rsidRPr="00E72D60" w:rsidRDefault="00E72D60" w:rsidP="007D2973">
      <w:pPr>
        <w:spacing w:line="276" w:lineRule="auto"/>
        <w:ind w:firstLine="709"/>
        <w:jc w:val="both"/>
        <w:rPr>
          <w:sz w:val="20"/>
          <w:szCs w:val="20"/>
        </w:rPr>
      </w:pPr>
      <w:r w:rsidRPr="00E72D60">
        <w:rPr>
          <w:sz w:val="20"/>
          <w:szCs w:val="20"/>
        </w:rPr>
        <w:tab/>
        <w:t>Oddíl třetí: Ztracené nebo zničené směnky a protestní listiny (§ 90)</w:t>
      </w:r>
    </w:p>
    <w:p w:rsidR="0071180A" w:rsidRPr="00306D8F" w:rsidRDefault="00E72D60" w:rsidP="00306D8F">
      <w:pPr>
        <w:spacing w:line="276" w:lineRule="auto"/>
        <w:ind w:firstLine="709"/>
        <w:jc w:val="both"/>
        <w:rPr>
          <w:b/>
          <w:sz w:val="20"/>
          <w:szCs w:val="20"/>
        </w:rPr>
      </w:pPr>
      <w:r w:rsidRPr="00306D8F">
        <w:rPr>
          <w:b/>
          <w:sz w:val="20"/>
          <w:szCs w:val="20"/>
        </w:rPr>
        <w:t>Část čtvrtá: Zvláštní ustanovení mezinárodního práva směnečného (§ 91 – 98)</w:t>
      </w:r>
    </w:p>
    <w:p w:rsidR="00E72D60" w:rsidRDefault="00E72D60" w:rsidP="00306D8F">
      <w:pPr>
        <w:spacing w:before="240" w:after="240" w:line="276" w:lineRule="auto"/>
        <w:jc w:val="both"/>
      </w:pPr>
      <w:r w:rsidRPr="00E72D60">
        <w:t xml:space="preserve">Na první pohled se zdá, že směnce vlastní byla věnována minimální pozornost. Skutečně, úprava vlastní směnky zdánlivě zabírá pouhé čtyři paragrafy, což kontrastuje s podrobnou úpravou směnky cizí. Nepoměr je pouze zdánlivý, jak vyplývá z čl. I §77 SŠZ, pokud to neodporuje podstatě směnky vlastní, platí pro ni vyjmenované ustanovení o směnkách cizích. Zákonodárce zvolil cestu určité legislativní zkratky a převážnou část otázek u směnky vlastní vyřešil odkazem na úpravu směnky cizí. Zákon směnečný a šekový obsahuje převážně normy kogentní povahy, tj. normy umožňující odchylky jen tam, kde je to výslovně umožněno, srov. § 2 odst. 3 ObčZ. </w:t>
      </w:r>
    </w:p>
    <w:p w:rsidR="00306D8F" w:rsidRDefault="00306D8F">
      <w:pPr>
        <w:spacing w:after="200" w:line="276" w:lineRule="auto"/>
      </w:pPr>
      <w:r>
        <w:rPr>
          <w:b/>
          <w:bCs/>
        </w:rPr>
        <w:br w:type="page"/>
      </w:r>
    </w:p>
    <w:p w:rsidR="00B02BE7" w:rsidRDefault="00B02BE7" w:rsidP="00BE3B86">
      <w:pPr>
        <w:pStyle w:val="Nzev"/>
        <w:numPr>
          <w:ilvl w:val="0"/>
          <w:numId w:val="6"/>
        </w:numPr>
      </w:pPr>
      <w:r>
        <w:lastRenderedPageBreak/>
        <w:t>Druhy směnek</w:t>
      </w:r>
    </w:p>
    <w:p w:rsidR="00A0541E" w:rsidRDefault="00A0541E" w:rsidP="007D2973">
      <w:pPr>
        <w:pStyle w:val="Odstavecseseznamem"/>
        <w:numPr>
          <w:ilvl w:val="0"/>
          <w:numId w:val="2"/>
        </w:numPr>
        <w:spacing w:after="200" w:line="276" w:lineRule="auto"/>
        <w:jc w:val="both"/>
      </w:pPr>
      <w:r>
        <w:t>Vlastní směnka</w:t>
      </w:r>
    </w:p>
    <w:p w:rsidR="00A0541E" w:rsidRDefault="00E72D60" w:rsidP="007D2973">
      <w:pPr>
        <w:pStyle w:val="Odstavecseseznamem"/>
        <w:spacing w:before="240" w:after="240" w:line="276" w:lineRule="auto"/>
        <w:jc w:val="both"/>
      </w:pPr>
      <w:r w:rsidRPr="0014631C">
        <w:t xml:space="preserve">Vlastní směnka je cenný papír, kterým výstavce slibuje zaplatit určitou peněžní částku remitentovi (nebo osobě, které bude směnka převedena). </w:t>
      </w:r>
      <w:r>
        <w:t>Ve své minimální podobě (jde-li tedy o tzv. základní směnku) má vlastní směnka jen dva účastníky: výstavce a věřitele, kdy výstavce je přímý dlužník za směnky</w:t>
      </w:r>
      <w:r w:rsidR="00A0541E">
        <w:t>. Jen zřídka se v praxi objeví jiné znění slibu, než prosté „zaplatím“ a vlastní směnku tedy obvykle poznáme právě podle těchto slov.</w:t>
      </w:r>
    </w:p>
    <w:p w:rsidR="00A0541E" w:rsidRDefault="00E72D60" w:rsidP="007D2973">
      <w:pPr>
        <w:pStyle w:val="Odstavecseseznamem"/>
        <w:spacing w:before="240" w:after="240" w:line="276" w:lineRule="auto"/>
        <w:jc w:val="both"/>
      </w:pPr>
      <w:r>
        <w:t>Zjednodušeně viděno představuje směnka vlastní určitou variantu dlužnického úpisu.</w:t>
      </w:r>
    </w:p>
    <w:p w:rsidR="00E72D60" w:rsidRDefault="00E72D60" w:rsidP="007D2973">
      <w:pPr>
        <w:pStyle w:val="Odstavecseseznamem"/>
        <w:spacing w:before="240" w:after="240" w:line="276" w:lineRule="auto"/>
        <w:jc w:val="both"/>
      </w:pPr>
    </w:p>
    <w:p w:rsidR="00A0541E" w:rsidRDefault="00A0541E" w:rsidP="007D2973">
      <w:pPr>
        <w:pStyle w:val="Odstavecseseznamem"/>
        <w:numPr>
          <w:ilvl w:val="0"/>
          <w:numId w:val="2"/>
        </w:numPr>
        <w:spacing w:before="240" w:after="240" w:line="276" w:lineRule="auto"/>
        <w:jc w:val="both"/>
      </w:pPr>
      <w:r>
        <w:t>Cizí směnka</w:t>
      </w:r>
    </w:p>
    <w:p w:rsidR="00E0524A" w:rsidRDefault="00E0524A" w:rsidP="007D2973">
      <w:pPr>
        <w:pStyle w:val="Odstavecseseznamem"/>
        <w:spacing w:before="240" w:after="200" w:line="276" w:lineRule="auto"/>
        <w:jc w:val="both"/>
      </w:pPr>
      <w:r>
        <w:t>Směnka cizí v zásadě ztělesňuje příkaz výstavce adresovaný jiné osobě. Je proto rozpoznatelná podle bezpodmínečného imperativu „zaplaťte“.</w:t>
      </w:r>
    </w:p>
    <w:p w:rsidR="00A0541E" w:rsidRPr="00BE3B86" w:rsidRDefault="00B8377C" w:rsidP="00BE3B86">
      <w:pPr>
        <w:pStyle w:val="Nadpis2"/>
        <w:numPr>
          <w:ilvl w:val="1"/>
          <w:numId w:val="6"/>
        </w:numPr>
      </w:pPr>
      <w:r w:rsidRPr="00BE3B86">
        <w:t>Směnky s atypickým počtem účastníků</w:t>
      </w:r>
    </w:p>
    <w:p w:rsidR="00B8377C" w:rsidRDefault="00B8377C" w:rsidP="007D2973">
      <w:pPr>
        <w:spacing w:after="200" w:line="276" w:lineRule="auto"/>
        <w:jc w:val="both"/>
      </w:pPr>
      <w:r>
        <w:t>Z předcházejících výkladu vyplývá, že směnka vlastní má ve svém modelovém pojetí dva účastníky (výstavce a remitenta), ale za určitých okolností může být ale počet účastníků směnky fakticky snížen</w:t>
      </w:r>
      <w:r>
        <w:rPr>
          <w:rStyle w:val="Znakapoznpodarou"/>
        </w:rPr>
        <w:footnoteReference w:id="4"/>
      </w:r>
      <w:r>
        <w:t>.</w:t>
      </w:r>
      <w:r w:rsidR="00215AA7">
        <w:t xml:space="preserve"> Neznamená to, že by některý z nich ve směnce chyběl, taková směnka by totiž nebyla platná. Pouze se nemusí vždy jednat o různé osoby.</w:t>
      </w:r>
    </w:p>
    <w:p w:rsidR="00215AA7" w:rsidRDefault="00215AA7" w:rsidP="007D2973">
      <w:pPr>
        <w:spacing w:after="200" w:line="276" w:lineRule="auto"/>
        <w:jc w:val="both"/>
      </w:pPr>
      <w:r>
        <w:t>Redukce účastníků je možná pouze u směnky cizí. Vlastní směnka s redukovaným počtem účastníků přepokládá, že výstavce si sám slibuje zaplacení určité částky. Výstavce směnky by sám byl jejím remitentem. To je u vlastní směnky zjevně nesmyslné a zákon variantu vlastní směnky s jedním účastníkem samozřejmě nepřipouští.</w:t>
      </w:r>
    </w:p>
    <w:p w:rsidR="00BE3B86" w:rsidRDefault="00BE3B86" w:rsidP="00BE3B86">
      <w:pPr>
        <w:pStyle w:val="Nadpis2"/>
        <w:numPr>
          <w:ilvl w:val="1"/>
          <w:numId w:val="6"/>
        </w:numPr>
      </w:pPr>
      <w:r>
        <w:t>Násobení a rozšíření směnky</w:t>
      </w:r>
    </w:p>
    <w:p w:rsidR="00BE3B86" w:rsidRDefault="00BE3B86" w:rsidP="00BE3B86">
      <w:pPr>
        <w:spacing w:after="200" w:line="276" w:lineRule="auto"/>
        <w:jc w:val="both"/>
      </w:pPr>
      <w:r>
        <w:t>Násobení = vystavení v několika stejnopisech.</w:t>
      </w:r>
    </w:p>
    <w:p w:rsidR="00BE3B86" w:rsidRDefault="00BE3B86" w:rsidP="00BE3B86">
      <w:pPr>
        <w:spacing w:after="200" w:line="276" w:lineRule="auto"/>
        <w:jc w:val="both"/>
      </w:pPr>
      <w:r>
        <w:t>Násobení směnky je upraveno v čl. 1 §1 SŠZ, ustanovení v čl. 2 §1 SŠZ o násobení směnky obsažena nejsou. Na vlastní směnku je tudíž nelze vztáhnout.</w:t>
      </w:r>
    </w:p>
    <w:p w:rsidR="00BE3B86" w:rsidRDefault="00BE3B86" w:rsidP="00BE3B86">
      <w:pPr>
        <w:spacing w:after="200" w:line="276" w:lineRule="auto"/>
        <w:jc w:val="both"/>
        <w:rPr>
          <w:color w:val="FF0000"/>
        </w:rPr>
      </w:pPr>
      <w:r>
        <w:lastRenderedPageBreak/>
        <w:t>Snaha emitovat vlastní směnku v několika stejnopisech nezbytně končí vyhotovením několika samostatných směnek zakládajících odpočívající počet směnečných vztahů-</w:t>
      </w:r>
    </w:p>
    <w:p w:rsidR="00215AA7" w:rsidRPr="00E72D60" w:rsidRDefault="00215AA7" w:rsidP="00BE3B86">
      <w:pPr>
        <w:pStyle w:val="Nzev"/>
        <w:numPr>
          <w:ilvl w:val="0"/>
          <w:numId w:val="6"/>
        </w:numPr>
      </w:pPr>
      <w:r w:rsidRPr="00E72D60">
        <w:t>Účastníci směnečných vztahů</w:t>
      </w:r>
    </w:p>
    <w:p w:rsidR="00F04F49" w:rsidRDefault="00F04F49" w:rsidP="00BE3B86">
      <w:pPr>
        <w:spacing w:before="240" w:after="200" w:line="276" w:lineRule="auto"/>
        <w:jc w:val="both"/>
      </w:pPr>
      <w:r>
        <w:t>Směnečných vztahů se může účastnit celá řada subjektů v nejrůznějším postavení. Pro účastníky na dlužnické straně je mimořádně významné, zda jde o dlužníky přímé (direktní) nebo nepřímé (regresní, postihové). Zhruba řečeno, vůči přímému směnečnému dlužníkovi lze uplatnit právo bezprostředně; kromě řádné prezentace není přímé směnečné právo vázáno na jiné předpoklady.</w:t>
      </w:r>
    </w:p>
    <w:p w:rsidR="00F04F49" w:rsidRDefault="00F04F49" w:rsidP="007D2973">
      <w:pPr>
        <w:spacing w:after="200" w:line="276" w:lineRule="auto"/>
        <w:jc w:val="both"/>
      </w:pPr>
      <w:r>
        <w:t>Naproti tomu je nepřímý dlužník svým způsobem dlužníkem náhradním. Je zálohou, vůči které může věřitel uplatnit práva až poté co směnka není přijata nebo zaplacena. Výkon práv vůči postižním dlužníkům proto předpokládá zjištění, zda směnka byla přijata nebo zaplacena.</w:t>
      </w:r>
    </w:p>
    <w:p w:rsidR="00215AA7" w:rsidRPr="00BE3B86" w:rsidRDefault="00215AA7" w:rsidP="00306D8F">
      <w:pPr>
        <w:pStyle w:val="Odstavecseseznamem"/>
        <w:numPr>
          <w:ilvl w:val="0"/>
          <w:numId w:val="3"/>
        </w:numPr>
        <w:spacing w:before="240" w:after="200" w:line="360" w:lineRule="auto"/>
        <w:jc w:val="both"/>
        <w:rPr>
          <w:b/>
        </w:rPr>
      </w:pPr>
      <w:r w:rsidRPr="00BE3B86">
        <w:rPr>
          <w:b/>
        </w:rPr>
        <w:t>Výstavce</w:t>
      </w:r>
    </w:p>
    <w:p w:rsidR="00215AA7" w:rsidRDefault="00F04F49" w:rsidP="00306D8F">
      <w:pPr>
        <w:pStyle w:val="Odstavecseseznamem"/>
        <w:spacing w:before="240" w:after="200" w:line="276" w:lineRule="auto"/>
        <w:jc w:val="both"/>
      </w:pPr>
      <w:r>
        <w:t>Výstavce vlastní směnky je přímým směnečným dlužníkem. Má tedy platit při splatnosti směnky, aniž by mohl – má-li být listina platnou směnkou vlastní – svůj závazek ze směnky podmínit nebo omezit. Pro výkon práv vůči výstavci vlastní směnky není nutné splnit tzv. zachovávací úkony (řádné předložení směnky a protest) jako u dlužníků nepřímých.</w:t>
      </w:r>
    </w:p>
    <w:p w:rsidR="00215AA7" w:rsidRPr="00BE3B86" w:rsidRDefault="00215AA7" w:rsidP="00306D8F">
      <w:pPr>
        <w:pStyle w:val="Odstavecseseznamem"/>
        <w:numPr>
          <w:ilvl w:val="0"/>
          <w:numId w:val="3"/>
        </w:numPr>
        <w:spacing w:before="240" w:after="200" w:line="360" w:lineRule="auto"/>
        <w:jc w:val="both"/>
        <w:rPr>
          <w:b/>
        </w:rPr>
      </w:pPr>
      <w:r w:rsidRPr="00BE3B86">
        <w:rPr>
          <w:b/>
        </w:rPr>
        <w:t xml:space="preserve">Remitent </w:t>
      </w:r>
    </w:p>
    <w:p w:rsidR="00F04F49" w:rsidRDefault="00F04F49" w:rsidP="00306D8F">
      <w:pPr>
        <w:pStyle w:val="Odstavecseseznamem"/>
        <w:spacing w:before="240" w:after="200" w:line="276" w:lineRule="auto"/>
        <w:jc w:val="both"/>
      </w:pPr>
      <w:r>
        <w:t xml:space="preserve">Pro prvního směnečného věřitele se tradičně užívá označení remitent. Další věřitele směnky zákon směnečný a šekový označuje zpravidla jako majitele. </w:t>
      </w:r>
    </w:p>
    <w:p w:rsidR="00F04F49" w:rsidRDefault="00F04F49" w:rsidP="00306D8F">
      <w:pPr>
        <w:pStyle w:val="Odstavecseseznamem"/>
        <w:spacing w:before="240" w:after="200" w:line="276" w:lineRule="auto"/>
        <w:jc w:val="both"/>
      </w:pPr>
      <w:r>
        <w:t>U vlastní směnky je totožnost výstavce a remitenta vyloučena.</w:t>
      </w:r>
    </w:p>
    <w:p w:rsidR="00F04F49" w:rsidRPr="00BE3B86" w:rsidRDefault="00F04F49" w:rsidP="00306D8F">
      <w:pPr>
        <w:pStyle w:val="Odstavecseseznamem"/>
        <w:numPr>
          <w:ilvl w:val="0"/>
          <w:numId w:val="3"/>
        </w:numPr>
        <w:spacing w:before="240" w:after="200" w:line="360" w:lineRule="auto"/>
        <w:jc w:val="both"/>
        <w:rPr>
          <w:b/>
        </w:rPr>
      </w:pPr>
      <w:r w:rsidRPr="00BE3B86">
        <w:rPr>
          <w:b/>
        </w:rPr>
        <w:t>Osoby směnečného rukojemství</w:t>
      </w:r>
    </w:p>
    <w:p w:rsidR="0086289A" w:rsidRDefault="0086289A" w:rsidP="00306D8F">
      <w:pPr>
        <w:pStyle w:val="Odstavecseseznamem"/>
        <w:spacing w:before="240" w:after="200" w:line="276" w:lineRule="auto"/>
        <w:jc w:val="both"/>
      </w:pPr>
      <w:r>
        <w:t>Specifika směnečných vztahů se projevují i při zajištění závazků přímých i postižních dlužníků tzv. směnečným rukojemstvím. Ryze směnečným instrumentem zajištění zaplacení směnky je směnečné rukojemství.</w:t>
      </w:r>
    </w:p>
    <w:p w:rsidR="0086289A" w:rsidRDefault="0086289A" w:rsidP="00306D8F">
      <w:pPr>
        <w:pStyle w:val="Odstavecseseznamem"/>
        <w:spacing w:before="240" w:after="200" w:line="276" w:lineRule="auto"/>
        <w:jc w:val="both"/>
      </w:pPr>
      <w:r>
        <w:t xml:space="preserve">Směnečným rukojemstvím (avalem, avalistou) bývá zpravidla osoba, která ještě není směnečné zavázána. Jen tak lze totiž realizovat pravidelný cíl směnečného rukojemství – zvýšení hodnoty směnky tím, že se počet směnečných dlužníků rozšíří o další osobu. Zákon ovšem nebrání tomu, aby tuto záruku poskytla osoba, která se na směnku již podepsala. Rukojmí je zavázán jako ten, za koho se zaručil. Rukojemské prohlášení za přímého dlužníka zakládá obdobné </w:t>
      </w:r>
      <w:r>
        <w:lastRenderedPageBreak/>
        <w:t>postavení i avalovi; aval za nepřímého dlužníka je potom sám nepřímým dlužníkem.</w:t>
      </w:r>
    </w:p>
    <w:p w:rsidR="0086289A" w:rsidRDefault="0086289A" w:rsidP="00306D8F">
      <w:pPr>
        <w:pStyle w:val="Odstavecseseznamem"/>
        <w:spacing w:before="240" w:after="200" w:line="276" w:lineRule="auto"/>
        <w:jc w:val="both"/>
      </w:pPr>
      <w:r>
        <w:t>Ten, ze kterého se rukojmí zaručil, hýbá označován jako avalát. Pokud není v rukojemském prohlášení avalát udán, platí, že je jím výstavce. Ze směnky proto musí závazek avaláta vyplývat alespoň formálně. Bez výjimky platí formální princip, že bez avaláta není avala.</w:t>
      </w:r>
    </w:p>
    <w:p w:rsidR="00F04F49" w:rsidRPr="00BE3B86" w:rsidRDefault="00F04F49" w:rsidP="00306D8F">
      <w:pPr>
        <w:pStyle w:val="Odstavecseseznamem"/>
        <w:numPr>
          <w:ilvl w:val="0"/>
          <w:numId w:val="3"/>
        </w:numPr>
        <w:spacing w:before="240" w:after="200" w:line="360" w:lineRule="auto"/>
        <w:jc w:val="both"/>
        <w:rPr>
          <w:b/>
        </w:rPr>
      </w:pPr>
      <w:r w:rsidRPr="00BE3B86">
        <w:rPr>
          <w:b/>
        </w:rPr>
        <w:t>Účastníci směnečné indosace</w:t>
      </w:r>
    </w:p>
    <w:p w:rsidR="0086289A" w:rsidRDefault="0086289A" w:rsidP="00306D8F">
      <w:pPr>
        <w:pStyle w:val="Odstavecseseznamem"/>
        <w:spacing w:before="240" w:after="200" w:line="276" w:lineRule="auto"/>
        <w:jc w:val="both"/>
      </w:pPr>
      <w:r>
        <w:t>Směnka má ve většině případů formu cenného papíru na řad a její převody se proto primárně realizují rubopisy (indosamenty). Jde o zvláštní způsob převodu typický právě pro listinné cenné papíry. Účastníkem indosace je indosant (dříve označovaný také jako rubopisec či žirant) a indosatář (dříve také rubopisník či žiratář).</w:t>
      </w:r>
    </w:p>
    <w:p w:rsidR="0086289A" w:rsidRDefault="00461080" w:rsidP="00306D8F">
      <w:pPr>
        <w:pStyle w:val="Odstavecseseznamem"/>
        <w:spacing w:before="240" w:after="200" w:line="276" w:lineRule="auto"/>
        <w:jc w:val="both"/>
      </w:pPr>
      <w:r>
        <w:t>Indosamentem převádí indosant směnku na indosatáře. Prvním indosantem je remitent, dalším indosantem v zásadě vždy indosatář z předchozího rubopisu.</w:t>
      </w:r>
    </w:p>
    <w:p w:rsidR="00461080" w:rsidRDefault="00461080" w:rsidP="00306D8F">
      <w:pPr>
        <w:pStyle w:val="Odstavecseseznamem"/>
        <w:spacing w:before="240" w:after="200" w:line="276" w:lineRule="auto"/>
        <w:jc w:val="both"/>
      </w:pPr>
      <w:r>
        <w:t>Indosant je typickým nepřímým (postihovým) dlužníkem. Obdobně jako trasant odpovídá za přijetí a zaplacení směnky. A podobně jako trasant může tuto svou odpovědnost limitovat anebo se dokonce může z okruhu záložních dlužníků úplně vyloučit.</w:t>
      </w:r>
    </w:p>
    <w:p w:rsidR="00461080" w:rsidRDefault="00461080" w:rsidP="00306D8F">
      <w:pPr>
        <w:pStyle w:val="Odstavecseseznamem"/>
        <w:spacing w:before="240" w:after="200" w:line="276" w:lineRule="auto"/>
        <w:jc w:val="both"/>
      </w:pPr>
      <w:r>
        <w:t>Zcela vyloučí svou odpovědnost indosant, který ke svému rubopisu připojil doložku „sine obligo“, popř. doložku obdobného významu. Určitým způsobem limituje svou odpovědnost také indosant, který indosoval s tzv. rektadoložkou (nejčastěji znějící „nikoliv na řad“´); v takovém případě odpovídá pouze svému indosatáři, nikoli již ale dalším nabyvatelům směnky, na které byla listina dále indosována (čl. I §15/2 SŠZ).</w:t>
      </w:r>
    </w:p>
    <w:p w:rsidR="00F04F49" w:rsidRPr="00BE3B86" w:rsidRDefault="00461080" w:rsidP="00306D8F">
      <w:pPr>
        <w:pStyle w:val="Odstavecseseznamem"/>
        <w:numPr>
          <w:ilvl w:val="0"/>
          <w:numId w:val="3"/>
        </w:numPr>
        <w:spacing w:before="240" w:after="200" w:line="360" w:lineRule="auto"/>
        <w:jc w:val="both"/>
        <w:rPr>
          <w:b/>
        </w:rPr>
      </w:pPr>
      <w:r w:rsidRPr="00BE3B86">
        <w:rPr>
          <w:b/>
        </w:rPr>
        <w:t>D</w:t>
      </w:r>
      <w:r w:rsidR="00F04F49" w:rsidRPr="00BE3B86">
        <w:rPr>
          <w:b/>
        </w:rPr>
        <w:t>omiciliát</w:t>
      </w:r>
    </w:p>
    <w:p w:rsidR="00461080" w:rsidRDefault="00461080" w:rsidP="00306D8F">
      <w:pPr>
        <w:pStyle w:val="Odstavecseseznamem"/>
        <w:spacing w:before="240" w:after="200" w:line="276" w:lineRule="auto"/>
        <w:jc w:val="both"/>
      </w:pPr>
      <w:r>
        <w:t>V čl. I §4 SŠZ se hovoří o třetí osobě, u které lze směnku učinit splatnou („</w:t>
      </w:r>
      <w:r w:rsidRPr="00461080">
        <w:t>Směnku lze učinit splatnou u třetí osoby, a to buď v místě směnečníkova bydliště, nebo v místě jiném</w:t>
      </w:r>
      <w:r>
        <w:t xml:space="preserve">“). Tuto osobu označujeme jako domiciliáta (umístěnce). Domiciliát není ze směnky zavázán ani oprávněn, je jen prostředníkem, skrze kterého má příslušný dlužník směnku proplácet. Zpravidla působí jako dlužníkův mandatář (jeho jménem a na jeho účet). V případě nezaplacení </w:t>
      </w:r>
      <w:r w:rsidR="00CE13F4">
        <w:t>směnky nelze proti domiciliátovi vést postih.</w:t>
      </w:r>
    </w:p>
    <w:p w:rsidR="00CE13F4" w:rsidRDefault="00CE13F4" w:rsidP="00306D8F">
      <w:pPr>
        <w:pStyle w:val="Odstavecseseznamem"/>
        <w:spacing w:before="240" w:after="200" w:line="276" w:lineRule="auto"/>
        <w:jc w:val="both"/>
      </w:pPr>
      <w:r>
        <w:t>Většinou je umístěncem banka, která je ostatně pro (bezhotovostní) zprostředkování platby ideálně vybavena. Označit domiciliáta ve směnce vlastní může pouze výstavce.</w:t>
      </w:r>
    </w:p>
    <w:p w:rsidR="00306D8F" w:rsidRDefault="00306D8F" w:rsidP="00306D8F">
      <w:pPr>
        <w:spacing w:before="240" w:after="200" w:line="276" w:lineRule="auto"/>
      </w:pPr>
      <w:r>
        <w:rPr>
          <w:b/>
          <w:bCs/>
        </w:rPr>
        <w:br w:type="page"/>
      </w:r>
    </w:p>
    <w:p w:rsidR="00B02BE7" w:rsidRPr="00E72D60" w:rsidRDefault="00CE13F4" w:rsidP="00BE3B86">
      <w:pPr>
        <w:pStyle w:val="Nzev"/>
        <w:numPr>
          <w:ilvl w:val="0"/>
          <w:numId w:val="6"/>
        </w:numPr>
      </w:pPr>
      <w:r w:rsidRPr="00E72D60">
        <w:lastRenderedPageBreak/>
        <w:t>Náležitosti směnky vlastní</w:t>
      </w:r>
    </w:p>
    <w:p w:rsidR="00CE13F4" w:rsidRDefault="007D2973" w:rsidP="00BE3B86">
      <w:pPr>
        <w:spacing w:before="240" w:after="200" w:line="276" w:lineRule="auto"/>
        <w:jc w:val="both"/>
      </w:pPr>
      <w:r w:rsidRPr="007D2973">
        <w:rPr>
          <w:bCs/>
        </w:rPr>
        <w:t>Konkrétní podoba směnky není předepsána</w:t>
      </w:r>
      <w:r w:rsidRPr="0014631C">
        <w:t>, zákonem jsou pouze stanoveny náležitosti, které musí směnka obsahovat, aby byla platná.</w:t>
      </w:r>
      <w:r>
        <w:t xml:space="preserve"> </w:t>
      </w:r>
      <w:r w:rsidR="00CE13F4">
        <w:t>Náležitosti upravuje čl. I §75 a 76 SŠZ.</w:t>
      </w:r>
    </w:p>
    <w:p w:rsidR="007D2973" w:rsidRDefault="00CE13F4" w:rsidP="007D2973">
      <w:pPr>
        <w:spacing w:line="276" w:lineRule="auto"/>
        <w:jc w:val="both"/>
      </w:pPr>
      <w:r>
        <w:t>Vlastní směnka musí obsahovat: směnečnou klausuli, bezpodmínečný slib zaplatit určitou peněžitou sumu, údaj splatnosti, údaj místa, kde má být placeno, jméno toho, komu nebo na jehož řad má být placeno, datum a místo vystavení směnky a podpis výstavce.</w:t>
      </w:r>
      <w:r w:rsidR="007D2973">
        <w:t xml:space="preserve"> </w:t>
      </w:r>
    </w:p>
    <w:p w:rsidR="00CE13F4" w:rsidRDefault="007D2973" w:rsidP="007D2973">
      <w:pPr>
        <w:spacing w:line="276" w:lineRule="auto"/>
        <w:jc w:val="both"/>
      </w:pPr>
      <w:r w:rsidRPr="0014631C">
        <w:t>Pokud směnka nebude obsahovat všechny zákonné náležitosti nebo je nebude obsahovat, tak jak je požaduje zákon, pak se nebude jednat o směnku. V nejlepším případě bude možno takový dokument považovat za dlužní úpis, v nejhorším případě bude taková listina bezcenným cárem papíru.</w:t>
      </w:r>
    </w:p>
    <w:p w:rsidR="00E72D60" w:rsidRDefault="00E72D60" w:rsidP="007D2973">
      <w:pPr>
        <w:spacing w:after="200" w:line="276" w:lineRule="auto"/>
        <w:jc w:val="both"/>
      </w:pPr>
      <w:r w:rsidRPr="0014631C">
        <w:t>Směnka musí být písemná, nemůže být ústní. Směnka ale nemusí být vyhotovena na papíře, ale může být zachycena na čemkoliv, na němž je trvale zachytitelné písmo</w:t>
      </w:r>
      <w:r>
        <w:t>.</w:t>
      </w:r>
      <w:r w:rsidR="007D2973">
        <w:t xml:space="preserve"> </w:t>
      </w:r>
      <w:r w:rsidR="007D2973" w:rsidRPr="0014631C">
        <w:t>Na platnost směnky nemají vliv pravopisné ani gramatické chyby. Pokud směnka obsahuje zákonem požadované náležitosti a má "souvislý obsah vyjadřující vůli vyžadovanou pro právní úkon", je platná - i kdyby byla psána lámanou češtinou na kusu balicího papíru.</w:t>
      </w:r>
    </w:p>
    <w:p w:rsidR="00B02BE7" w:rsidRPr="00E72D60" w:rsidRDefault="00BE3B86" w:rsidP="00BE3B86">
      <w:pPr>
        <w:pStyle w:val="Nadpis2"/>
        <w:numPr>
          <w:ilvl w:val="1"/>
          <w:numId w:val="6"/>
        </w:numPr>
      </w:pPr>
      <w:r>
        <w:t xml:space="preserve"> </w:t>
      </w:r>
      <w:r w:rsidR="00CE13F4" w:rsidRPr="00E72D60">
        <w:t>Směnečná klausule</w:t>
      </w:r>
    </w:p>
    <w:p w:rsidR="00CE13F4" w:rsidRDefault="00CE13F4" w:rsidP="007D2973">
      <w:pPr>
        <w:pStyle w:val="Odstavecseseznamem"/>
        <w:spacing w:after="200" w:line="276" w:lineRule="auto"/>
        <w:jc w:val="both"/>
      </w:pPr>
      <w:r>
        <w:t xml:space="preserve">Jako první obsahovou náležitost směnky zákon uvádí označení za směnku – tzv. směnečná klausule. Označení za směnku má být pojato do vlastního textu listiny. </w:t>
      </w:r>
      <w:r w:rsidR="00E72D60" w:rsidRPr="0014631C">
        <w:t>Směnkou není listina, jestliže se v textu nevyskytne slovo „směnka“ (nestačí ani pojmy podobné, např. „směnečný list“, „směnečná listina“ apod.). Rovněž nestačí, že je listina v nadpisu označena jako směnka, ale slovo „směnka“ chybí ve vlastním textu.</w:t>
      </w:r>
      <w:r w:rsidR="00E72D60">
        <w:t xml:space="preserve"> </w:t>
      </w:r>
      <w:r>
        <w:t>Směnečná klausule musí být vyjádřena v jazyce, v němž je celá listina sepsána.</w:t>
      </w:r>
      <w:r w:rsidR="00A4135E">
        <w:t xml:space="preserve"> V jedné směnce nelze kombinovat více jazyků, byť by si byly velmi podobné.</w:t>
      </w:r>
    </w:p>
    <w:p w:rsidR="00E72D60" w:rsidRDefault="00A4135E" w:rsidP="00020D3E">
      <w:pPr>
        <w:pStyle w:val="Odstavecseseznamem"/>
        <w:spacing w:after="200" w:line="276" w:lineRule="auto"/>
        <w:jc w:val="both"/>
      </w:pPr>
      <w:r>
        <w:t>Prohlášení jiných osob (akceptanta, avala, indosantů) se může od jazyka směnky odchýlit bez jakýchkoliv důsledků.</w:t>
      </w:r>
    </w:p>
    <w:p w:rsidR="00A4135E" w:rsidRPr="00E72D60" w:rsidRDefault="00CE13F4" w:rsidP="00BE3B86">
      <w:pPr>
        <w:pStyle w:val="Nadpis2"/>
        <w:numPr>
          <w:ilvl w:val="1"/>
          <w:numId w:val="6"/>
        </w:numPr>
      </w:pPr>
      <w:r w:rsidRPr="00E72D60">
        <w:t>Bezpodmínečný slib zaplatit určitou peněžitou sumu</w:t>
      </w:r>
    </w:p>
    <w:p w:rsidR="00C60762" w:rsidRDefault="00A4135E" w:rsidP="007D2973">
      <w:pPr>
        <w:pStyle w:val="Odstavecseseznamem"/>
        <w:spacing w:after="200" w:line="276" w:lineRule="auto"/>
        <w:jc w:val="both"/>
      </w:pPr>
      <w:r>
        <w:t>Prohlášení výstavce (slib) nemůže být nijak podmíněno.</w:t>
      </w:r>
      <w:r w:rsidR="00C60762">
        <w:t xml:space="preserve"> Nezáleží přitom, zda jde o podmínku odkládací či rozvazovací, splnitelnou či nesplnitelnou, subjektivní či objektivní: důsledkem bude vždy neplatnost směnky.</w:t>
      </w:r>
      <w:r w:rsidR="00E72D60" w:rsidRPr="00E72D60">
        <w:t xml:space="preserve"> </w:t>
      </w:r>
      <w:r w:rsidR="00E72D60" w:rsidRPr="0014631C">
        <w:t>Podmínku však lze sjednat mimo text směnky.</w:t>
      </w:r>
    </w:p>
    <w:p w:rsidR="007D2973" w:rsidRDefault="00E72D60" w:rsidP="007D2973">
      <w:pPr>
        <w:pStyle w:val="Odstavecseseznamem"/>
        <w:spacing w:after="200" w:line="276" w:lineRule="auto"/>
        <w:jc w:val="both"/>
      </w:pPr>
      <w:r w:rsidRPr="0014631C">
        <w:t xml:space="preserve">Tímto slibem není vyjádření typu „za tuto směnku vrátím“, „za tuto směnku daruji“, „za tuto směnku vydám“. Slib musí být striktní, </w:t>
      </w:r>
      <w:r w:rsidRPr="0014631C">
        <w:lastRenderedPageBreak/>
        <w:t xml:space="preserve">v žádném případě podmíněný. Nejlépe je formulovat jej „za tuto směnku zaplatím“. </w:t>
      </w:r>
    </w:p>
    <w:p w:rsidR="00020D3E" w:rsidRDefault="00C60762" w:rsidP="00020D3E">
      <w:pPr>
        <w:pStyle w:val="Odstavecseseznamem"/>
        <w:spacing w:after="200" w:line="276" w:lineRule="auto"/>
        <w:jc w:val="both"/>
      </w:pPr>
      <w:r>
        <w:t>Příkaz musí dále směřovat k zaplacení určité peněžité sumy a zároveň musí být ze směnky patrná i měna. Pokud budou uvedeny dvě různé měny, bude to mít za následek neplatnost směnky.</w:t>
      </w:r>
      <w:r w:rsidR="007D2973">
        <w:t xml:space="preserve"> </w:t>
      </w:r>
      <w:r w:rsidR="007D2973" w:rsidRPr="0014631C">
        <w:t>Ve směnce nelze sjednat nepeněžité plnění (např. v podobě postoupení pohledávky, předání určitého předmětu apod.). Dostatečně určité není vymezení typu „zaplatím tolik, kolik Vám dlužím“, nebo „zaplatím tolik, kolik budete požadovat“.</w:t>
      </w:r>
    </w:p>
    <w:p w:rsidR="00A4135E" w:rsidRPr="00E72D60" w:rsidRDefault="00A4135E" w:rsidP="00BE3B86">
      <w:pPr>
        <w:pStyle w:val="Nadpis2"/>
        <w:numPr>
          <w:ilvl w:val="1"/>
          <w:numId w:val="6"/>
        </w:numPr>
      </w:pPr>
      <w:r w:rsidRPr="00E72D60">
        <w:t>Údaj splatnosti</w:t>
      </w:r>
    </w:p>
    <w:p w:rsidR="00C60762" w:rsidRDefault="00C60762" w:rsidP="007D2973">
      <w:pPr>
        <w:pStyle w:val="Odstavecseseznamem"/>
        <w:spacing w:after="200" w:line="276" w:lineRule="auto"/>
        <w:jc w:val="both"/>
      </w:pPr>
      <w:r>
        <w:t>Náležitost splatnosti nemusí být ve směnce uvedena.</w:t>
      </w:r>
      <w:r w:rsidR="00141293">
        <w:t xml:space="preserve"> V takovém případě totiž platí dle čl. I. § 76/2 že není-li ve vlastní směnce údaj splatnosti, platí, že je splatná na viděnou (tzv. vistasměnka)</w:t>
      </w:r>
      <w:r w:rsidR="007D2973">
        <w:rPr>
          <w:rStyle w:val="Znakapoznpodarou"/>
        </w:rPr>
        <w:footnoteReference w:id="5"/>
      </w:r>
      <w:r w:rsidR="00141293">
        <w:t>.</w:t>
      </w:r>
    </w:p>
    <w:p w:rsidR="00141293" w:rsidRDefault="00141293" w:rsidP="007D2973">
      <w:pPr>
        <w:pStyle w:val="Odstavecseseznamem"/>
        <w:spacing w:after="200" w:line="276" w:lineRule="auto"/>
        <w:jc w:val="both"/>
      </w:pPr>
      <w:r>
        <w:t>Pokud se výstavce rozhodne stanovit splatnost výslovně, dává mu zákon celkem čtyři možnosti. Směnka může být výslovně vystavena na viděnou (vistasměnka), na určitý čas po vidění (lhůtní vistasměnka), na určitý čas po datu vystavení (datosměnka) a na určitý den (fixní směnka).</w:t>
      </w:r>
    </w:p>
    <w:p w:rsidR="00A4135E" w:rsidRPr="00E72D60" w:rsidRDefault="00A4135E" w:rsidP="00BE3B86">
      <w:pPr>
        <w:pStyle w:val="Nadpis2"/>
        <w:numPr>
          <w:ilvl w:val="1"/>
          <w:numId w:val="6"/>
        </w:numPr>
      </w:pPr>
      <w:r w:rsidRPr="00E72D60">
        <w:t>Údaj platebního místa</w:t>
      </w:r>
    </w:p>
    <w:p w:rsidR="00A4135E" w:rsidRDefault="00A4135E" w:rsidP="007D2973">
      <w:pPr>
        <w:pStyle w:val="Odstavecseseznamem"/>
        <w:spacing w:after="200" w:line="276" w:lineRule="auto"/>
        <w:jc w:val="both"/>
      </w:pPr>
      <w:r>
        <w:t>Platební místo může být ve vlastní směnce udáno výslovně nebo podpůrně (čl. I §76/3 SŠZ „</w:t>
      </w:r>
      <w:r w:rsidR="00C60762" w:rsidRPr="00C60762">
        <w:t>Není-li zvláštního údaje, platí, že místo vystavení směnky je místem platebním a zároveň místem výstavcova bydliště</w:t>
      </w:r>
      <w:r>
        <w:t>“)</w:t>
      </w:r>
    </w:p>
    <w:p w:rsidR="00141293" w:rsidRDefault="00141293" w:rsidP="007D2973">
      <w:pPr>
        <w:pStyle w:val="Odstavecseseznamem"/>
        <w:spacing w:after="200" w:line="276" w:lineRule="auto"/>
        <w:jc w:val="both"/>
      </w:pPr>
      <w:r>
        <w:t>Neplatná je směnka s neurčitě nebo alternativně udaným platebním místem (splatnost v Brně nebo Ostravě</w:t>
      </w:r>
      <w:r w:rsidR="00C70F19">
        <w:t>)</w:t>
      </w:r>
    </w:p>
    <w:p w:rsidR="00A4135E" w:rsidRPr="00E72D60" w:rsidRDefault="00A4135E" w:rsidP="00BE3B86">
      <w:pPr>
        <w:pStyle w:val="Nadpis2"/>
        <w:numPr>
          <w:ilvl w:val="1"/>
          <w:numId w:val="6"/>
        </w:numPr>
      </w:pPr>
      <w:r w:rsidRPr="00E72D60">
        <w:t>Jméno remitenta</w:t>
      </w:r>
    </w:p>
    <w:p w:rsidR="00A4135E" w:rsidRDefault="00C70F19" w:rsidP="007D2973">
      <w:pPr>
        <w:pStyle w:val="Odstavecseseznamem"/>
        <w:spacing w:after="200" w:line="276" w:lineRule="auto"/>
        <w:jc w:val="both"/>
      </w:pPr>
      <w:r>
        <w:t>Náležitostí směnky je dále jméno toho, komu nebo na jehož řad má být placeno. V listině není nutno uvádět podrobnější informace – dostatečným základem legitimace remitenta k výkonu práv ze směnek, které nebyly převáděny, je uvedení jeho jména.</w:t>
      </w:r>
    </w:p>
    <w:p w:rsidR="00C70F19" w:rsidRDefault="00C70F19" w:rsidP="007D2973">
      <w:pPr>
        <w:pStyle w:val="Odstavecseseznamem"/>
        <w:spacing w:after="200" w:line="276" w:lineRule="auto"/>
        <w:jc w:val="both"/>
      </w:pPr>
      <w:r>
        <w:t>Pokud chybí údaj o věřiteli, nemůže být listina platná jako směnka.</w:t>
      </w:r>
    </w:p>
    <w:p w:rsidR="007D2973" w:rsidRPr="007D2973" w:rsidRDefault="00A4135E" w:rsidP="00BE3B86">
      <w:pPr>
        <w:pStyle w:val="Nadpis2"/>
        <w:numPr>
          <w:ilvl w:val="1"/>
          <w:numId w:val="6"/>
        </w:numPr>
      </w:pPr>
      <w:r w:rsidRPr="00E72D60">
        <w:lastRenderedPageBreak/>
        <w:t>Datum a místo vystavení směnky</w:t>
      </w:r>
    </w:p>
    <w:p w:rsidR="00C60762" w:rsidRDefault="00C60762" w:rsidP="007D2973">
      <w:pPr>
        <w:pStyle w:val="Odstavecseseznamem"/>
        <w:spacing w:after="200" w:line="276" w:lineRule="auto"/>
        <w:jc w:val="both"/>
      </w:pPr>
      <w:r w:rsidRPr="00C60762">
        <w:t>Není-li ve vlastní směnce udáno místo vystavení, platí, že byla vystavena v místě, uvedeném u jména výstavce</w:t>
      </w:r>
    </w:p>
    <w:p w:rsidR="00A4135E" w:rsidRPr="00E72D60" w:rsidRDefault="00A4135E" w:rsidP="00BE3B86">
      <w:pPr>
        <w:pStyle w:val="Nadpis2"/>
        <w:numPr>
          <w:ilvl w:val="1"/>
          <w:numId w:val="6"/>
        </w:numPr>
      </w:pPr>
      <w:r w:rsidRPr="00E72D60">
        <w:t>Podpis výstavce</w:t>
      </w:r>
    </w:p>
    <w:p w:rsidR="00FD7FB0" w:rsidRDefault="00C70F19" w:rsidP="00020D3E">
      <w:pPr>
        <w:pStyle w:val="Odstavecseseznamem"/>
        <w:spacing w:after="200" w:line="276" w:lineRule="auto"/>
        <w:jc w:val="both"/>
      </w:pPr>
      <w:r>
        <w:t>Text směnky musí být opatřen podpisem svého tvůrce. Celý text směnky může být předtištěn, ale podpis jako jediná náležet směnky musí být pořízena vlastní rukou.</w:t>
      </w:r>
      <w:r w:rsidR="00E72D60">
        <w:t xml:space="preserve"> </w:t>
      </w:r>
      <w:r w:rsidR="00E72D60" w:rsidRPr="0014631C">
        <w:t>Jelikož směnka nemusí obsahovat žádný údaj o výstavci, z obsahu směnky nemusí být patrné, kdo ji vystavil, podpis výstavce může být totiž nečitelný.</w:t>
      </w:r>
    </w:p>
    <w:p w:rsidR="00020D3E" w:rsidRDefault="00020D3E" w:rsidP="00BE3B86">
      <w:pPr>
        <w:pStyle w:val="Nzev"/>
        <w:numPr>
          <w:ilvl w:val="0"/>
          <w:numId w:val="6"/>
        </w:numPr>
      </w:pPr>
      <w:r>
        <w:t>Soudní řízení</w:t>
      </w:r>
    </w:p>
    <w:p w:rsidR="00020D3E" w:rsidRPr="00020D3E" w:rsidRDefault="00020D3E" w:rsidP="00020D3E">
      <w:pPr>
        <w:spacing w:before="240" w:after="200" w:line="276" w:lineRule="auto"/>
        <w:jc w:val="both"/>
      </w:pPr>
      <w:r>
        <w:t>P</w:t>
      </w:r>
      <w:r w:rsidRPr="00020D3E">
        <w:t>okud osoba zavázaná ze směnky platit nezaplatí dobrovolně, pak se směnečný věřitel může domáhat zaplacení směnky před soudem návrhem na vydání směnečného platebního rozkazu. Soud, pokud nebude mít pochybnost o pravosti směnky, nebude nařizovat jednání ve sporu, ale vystaví přímo směnečný platební rozkaz. Směnečný platební rozkaz vydává soud na rozdíl od jiných rozhodnutí rychle, a to zpravidla od 3 do 6 měsíců od podání návrhu na vydání směnečného platebního rozkazu.</w:t>
      </w:r>
    </w:p>
    <w:p w:rsidR="007D2973" w:rsidRPr="0014631C" w:rsidRDefault="007D2973" w:rsidP="00BE3B86">
      <w:pPr>
        <w:pStyle w:val="Nzev"/>
        <w:numPr>
          <w:ilvl w:val="0"/>
          <w:numId w:val="6"/>
        </w:numPr>
      </w:pPr>
      <w:r w:rsidRPr="0014631C">
        <w:t>Vzor směnky vlastní</w:t>
      </w:r>
    </w:p>
    <w:p w:rsidR="00BE3B86" w:rsidRPr="00BE3B86" w:rsidRDefault="00BE3B86" w:rsidP="007D2973">
      <w:pPr>
        <w:spacing w:before="100" w:beforeAutospacing="1" w:after="100" w:afterAutospacing="1" w:line="276" w:lineRule="auto"/>
        <w:jc w:val="both"/>
        <w:rPr>
          <w:b/>
        </w:rPr>
      </w:pPr>
      <w:r>
        <w:rPr>
          <w:b/>
        </w:rPr>
        <w:t>Základní směnka</w:t>
      </w:r>
    </w:p>
    <w:p w:rsidR="007D2973" w:rsidRPr="0014631C" w:rsidRDefault="007D2973" w:rsidP="00BE3B86">
      <w:pPr>
        <w:spacing w:before="100" w:beforeAutospacing="1" w:after="100" w:afterAutospacing="1"/>
        <w:jc w:val="both"/>
      </w:pPr>
      <w:r w:rsidRPr="0014631C">
        <w:t>V Plzni dne ………</w:t>
      </w:r>
    </w:p>
    <w:p w:rsidR="007D2973" w:rsidRPr="0014631C" w:rsidRDefault="007D2973" w:rsidP="00BE3B86">
      <w:pPr>
        <w:spacing w:before="100" w:beforeAutospacing="1" w:after="100" w:afterAutospacing="1"/>
        <w:jc w:val="both"/>
      </w:pPr>
      <w:r w:rsidRPr="0014631C">
        <w:t>Dne ……… zaplatím v Plzni za tuto směnku panu …………… (</w:t>
      </w:r>
      <w:r w:rsidRPr="0014631C">
        <w:rPr>
          <w:i/>
          <w:iCs/>
        </w:rPr>
        <w:t>jméno remitenta</w:t>
      </w:r>
      <w:r w:rsidRPr="0014631C">
        <w:t>) …… Kč.</w:t>
      </w:r>
    </w:p>
    <w:p w:rsidR="007D2973" w:rsidRPr="0014631C" w:rsidRDefault="007D2973" w:rsidP="00BE3B86">
      <w:pPr>
        <w:spacing w:before="100" w:beforeAutospacing="1" w:after="100" w:afterAutospacing="1"/>
        <w:jc w:val="both"/>
      </w:pPr>
      <w:r w:rsidRPr="0014631C">
        <w:t>…………………</w:t>
      </w:r>
    </w:p>
    <w:p w:rsidR="007D2973" w:rsidRPr="0014631C" w:rsidRDefault="007D2973" w:rsidP="007D2973">
      <w:pPr>
        <w:spacing w:before="100" w:beforeAutospacing="1" w:after="100" w:afterAutospacing="1" w:line="276" w:lineRule="auto"/>
        <w:jc w:val="both"/>
      </w:pPr>
      <w:r w:rsidRPr="0014631C">
        <w:t>(</w:t>
      </w:r>
      <w:r w:rsidRPr="0014631C">
        <w:rPr>
          <w:i/>
          <w:iCs/>
        </w:rPr>
        <w:t>podpis výstavce</w:t>
      </w:r>
      <w:r w:rsidRPr="0014631C">
        <w:t>)</w:t>
      </w:r>
    </w:p>
    <w:p w:rsidR="007D2973" w:rsidRPr="0014631C" w:rsidRDefault="007D2973" w:rsidP="007D2973">
      <w:pPr>
        <w:jc w:val="both"/>
        <w:outlineLvl w:val="2"/>
        <w:rPr>
          <w:b/>
          <w:bCs/>
        </w:rPr>
      </w:pPr>
      <w:r w:rsidRPr="0014631C">
        <w:rPr>
          <w:b/>
          <w:bCs/>
        </w:rPr>
        <w:t>Avalovaná směnka vlastní na viděnou</w:t>
      </w:r>
    </w:p>
    <w:p w:rsidR="00BE3B86" w:rsidRDefault="00BE3B86" w:rsidP="007D2973">
      <w:pPr>
        <w:jc w:val="both"/>
      </w:pPr>
    </w:p>
    <w:p w:rsidR="007D2973" w:rsidRPr="0014631C" w:rsidRDefault="007D2973" w:rsidP="007D2973">
      <w:pPr>
        <w:jc w:val="both"/>
      </w:pPr>
      <w:r w:rsidRPr="0014631C">
        <w:t>Za tuto vlastní směnku zaplatím při jejím předložení částku 50.000 Kč (slovy padesáttisíckorunčeských) panu Janu Novákovi, r.</w:t>
      </w:r>
      <w:r>
        <w:t xml:space="preserve"> </w:t>
      </w:r>
      <w:r w:rsidRPr="0014631C">
        <w:t>č. 550101/0001, bytem Nová Ves č.</w:t>
      </w:r>
      <w:r>
        <w:t xml:space="preserve"> </w:t>
      </w:r>
      <w:r w:rsidRPr="0014631C">
        <w:t xml:space="preserve">p. 4, Trutnov. Bez protestu. </w:t>
      </w:r>
    </w:p>
    <w:p w:rsidR="00BE3B86" w:rsidRDefault="00BE3B86" w:rsidP="007D2973">
      <w:pPr>
        <w:jc w:val="both"/>
      </w:pPr>
    </w:p>
    <w:p w:rsidR="007D2973" w:rsidRPr="0014631C" w:rsidRDefault="007D2973" w:rsidP="007D2973">
      <w:pPr>
        <w:jc w:val="both"/>
      </w:pPr>
      <w:r w:rsidRPr="0014631C">
        <w:t xml:space="preserve">V Praze dne 12. 12. 2002 </w:t>
      </w:r>
    </w:p>
    <w:p w:rsidR="007D2973" w:rsidRDefault="007D2973" w:rsidP="007D2973">
      <w:pPr>
        <w:jc w:val="both"/>
      </w:pPr>
    </w:p>
    <w:p w:rsidR="00BE3B86" w:rsidRDefault="007D2973" w:rsidP="007D2973">
      <w:pPr>
        <w:jc w:val="both"/>
      </w:pPr>
      <w:r w:rsidRPr="0014631C">
        <w:t xml:space="preserve">Výstavce: </w:t>
      </w:r>
      <w:r w:rsidRPr="0014631C">
        <w:br/>
      </w:r>
    </w:p>
    <w:p w:rsidR="007D2973" w:rsidRPr="00020D3E" w:rsidRDefault="00020D3E" w:rsidP="007D2973">
      <w:pPr>
        <w:jc w:val="both"/>
        <w:rPr>
          <w:i/>
        </w:rPr>
      </w:pPr>
      <w:r>
        <w:rPr>
          <w:i/>
        </w:rPr>
        <w:t>(</w:t>
      </w:r>
      <w:r w:rsidR="007D2973" w:rsidRPr="00020D3E">
        <w:rPr>
          <w:i/>
        </w:rPr>
        <w:t>vlastnoruční podpis</w:t>
      </w:r>
      <w:r>
        <w:rPr>
          <w:i/>
        </w:rPr>
        <w:t>)</w:t>
      </w:r>
    </w:p>
    <w:p w:rsidR="007D2973" w:rsidRDefault="007D2973" w:rsidP="007D2973">
      <w:pPr>
        <w:jc w:val="both"/>
      </w:pPr>
      <w:r w:rsidRPr="0014631C">
        <w:t>Libor Žák</w:t>
      </w:r>
    </w:p>
    <w:p w:rsidR="007D2973" w:rsidRPr="0014631C" w:rsidRDefault="007D2973" w:rsidP="007D2973">
      <w:pPr>
        <w:jc w:val="both"/>
      </w:pPr>
      <w:r w:rsidRPr="0014631C">
        <w:lastRenderedPageBreak/>
        <w:t xml:space="preserve">r.č. 770707/5555bytem Praha 1, Revoluční </w:t>
      </w:r>
    </w:p>
    <w:p w:rsidR="007D2973" w:rsidRDefault="007D2973" w:rsidP="007D2973">
      <w:pPr>
        <w:jc w:val="both"/>
      </w:pPr>
    </w:p>
    <w:p w:rsidR="007D2973" w:rsidRDefault="007D2973" w:rsidP="007D2973">
      <w:pPr>
        <w:jc w:val="both"/>
      </w:pPr>
      <w:r w:rsidRPr="0014631C">
        <w:t xml:space="preserve">PER AVAL: </w:t>
      </w:r>
    </w:p>
    <w:p w:rsidR="007D2973" w:rsidRDefault="007D2973" w:rsidP="007D2973">
      <w:pPr>
        <w:jc w:val="both"/>
      </w:pPr>
    </w:p>
    <w:p w:rsidR="007D2973" w:rsidRPr="00020D3E" w:rsidRDefault="00020D3E" w:rsidP="007D2973">
      <w:pPr>
        <w:jc w:val="both"/>
        <w:rPr>
          <w:i/>
        </w:rPr>
      </w:pPr>
      <w:r>
        <w:rPr>
          <w:i/>
        </w:rPr>
        <w:t>(</w:t>
      </w:r>
      <w:r w:rsidR="007D2973" w:rsidRPr="00020D3E">
        <w:rPr>
          <w:i/>
        </w:rPr>
        <w:t>vlastnoruční podpis</w:t>
      </w:r>
      <w:r>
        <w:rPr>
          <w:i/>
        </w:rPr>
        <w:t>)</w:t>
      </w:r>
    </w:p>
    <w:p w:rsidR="007D2973" w:rsidRDefault="007D2973" w:rsidP="007D2973">
      <w:pPr>
        <w:jc w:val="both"/>
      </w:pPr>
      <w:r w:rsidRPr="0014631C">
        <w:t>Josef Novotný</w:t>
      </w:r>
    </w:p>
    <w:p w:rsidR="007D2973" w:rsidRDefault="007D2973" w:rsidP="007D2973">
      <w:pPr>
        <w:jc w:val="both"/>
      </w:pPr>
      <w:r w:rsidRPr="0014631C">
        <w:t>r.č. 683311/3333</w:t>
      </w:r>
    </w:p>
    <w:p w:rsidR="007D2973" w:rsidRDefault="007D2973" w:rsidP="007D2973">
      <w:pPr>
        <w:jc w:val="both"/>
      </w:pPr>
      <w:r w:rsidRPr="0014631C">
        <w:t xml:space="preserve">bytem Praha 1, Kozí 5 </w:t>
      </w:r>
    </w:p>
    <w:p w:rsidR="00306D8F" w:rsidRPr="0014631C" w:rsidRDefault="00306D8F" w:rsidP="007D2973">
      <w:pPr>
        <w:jc w:val="both"/>
      </w:pPr>
    </w:p>
    <w:p w:rsidR="007D2973" w:rsidRPr="0014631C" w:rsidRDefault="00020D3E" w:rsidP="00020D3E">
      <w:pPr>
        <w:pStyle w:val="Nzev"/>
        <w:numPr>
          <w:ilvl w:val="0"/>
          <w:numId w:val="6"/>
        </w:numPr>
        <w:rPr>
          <w:kern w:val="36"/>
        </w:rPr>
      </w:pPr>
      <w:r>
        <w:rPr>
          <w:kern w:val="36"/>
        </w:rPr>
        <w:t>Závěr</w:t>
      </w:r>
    </w:p>
    <w:p w:rsidR="00020D3E" w:rsidRPr="00020D3E" w:rsidRDefault="00020D3E" w:rsidP="00020D3E">
      <w:pPr>
        <w:spacing w:before="100" w:beforeAutospacing="1" w:after="100" w:afterAutospacing="1"/>
        <w:jc w:val="both"/>
      </w:pPr>
      <w:r w:rsidRPr="0014631C">
        <w:t xml:space="preserve">Směnka je písemným dokladem o finančním závazku. Je to obchodovatelný cenný papír, kterým se výstavce bezpodmínečně zavazuje, že osobě uvedené ve směnce zaplatí ve stanovené době směnečnou sumu (směnka vlastní), popř., v němž výstavce přikazuje třetí osobě (směnečníkovi), aby zaplatila osobě uvedené ve směnce směnečnou sumu za něj (cizí směnka). Používání směnky upravuje speciální směnečný a šekový zákon č. 191/1950 Sb., ve znění zákona č. 29/2000 Sb. </w:t>
      </w:r>
    </w:p>
    <w:p w:rsidR="007D2973" w:rsidRPr="0014631C" w:rsidRDefault="007D2973" w:rsidP="00020D3E">
      <w:pPr>
        <w:spacing w:before="240"/>
        <w:jc w:val="both"/>
      </w:pPr>
      <w:r w:rsidRPr="0014631C">
        <w:t xml:space="preserve">Směnky lze výhodně použít pro zajištění závazků. Jsou využívány stále více a znovu se s nimi setkávají i běžní občané. Nesprávné vyhotovení směnky ale může způsobit její neplatnost a neuvážený podpis směnky a nedůsledná obrana proti jejímu vymáhání vážné potíže! </w:t>
      </w:r>
    </w:p>
    <w:p w:rsidR="00020D3E" w:rsidRPr="00020D3E" w:rsidRDefault="007D2973" w:rsidP="00020D3E">
      <w:pPr>
        <w:spacing w:before="240" w:line="276" w:lineRule="auto"/>
        <w:jc w:val="both"/>
        <w:rPr>
          <w:u w:val="single"/>
        </w:rPr>
      </w:pPr>
      <w:r w:rsidRPr="00020D3E">
        <w:rPr>
          <w:bCs/>
          <w:u w:val="single"/>
        </w:rPr>
        <w:t>Směnka může sloužit jako:</w:t>
      </w:r>
      <w:r w:rsidRPr="00020D3E">
        <w:rPr>
          <w:u w:val="single"/>
        </w:rPr>
        <w:t xml:space="preserve"> </w:t>
      </w:r>
    </w:p>
    <w:p w:rsidR="00020D3E" w:rsidRPr="00020D3E" w:rsidRDefault="007D2973" w:rsidP="00020D3E">
      <w:pPr>
        <w:pStyle w:val="Odstavecseseznamem"/>
        <w:numPr>
          <w:ilvl w:val="1"/>
          <w:numId w:val="2"/>
        </w:numPr>
        <w:spacing w:line="276" w:lineRule="auto"/>
        <w:ind w:left="709"/>
        <w:jc w:val="both"/>
        <w:rPr>
          <w:b/>
          <w:bCs/>
          <w:color w:val="333333"/>
        </w:rPr>
      </w:pPr>
      <w:r w:rsidRPr="00020D3E">
        <w:rPr>
          <w:b/>
          <w:bCs/>
          <w:color w:val="333333"/>
        </w:rPr>
        <w:t>zástava</w:t>
      </w:r>
      <w:r w:rsidRPr="00020D3E">
        <w:rPr>
          <w:color w:val="333333"/>
        </w:rPr>
        <w:t xml:space="preserve"> při jiných typech úvěru, </w:t>
      </w:r>
    </w:p>
    <w:p w:rsidR="00020D3E" w:rsidRDefault="007D2973" w:rsidP="00020D3E">
      <w:pPr>
        <w:pStyle w:val="Odstavecseseznamem"/>
        <w:numPr>
          <w:ilvl w:val="1"/>
          <w:numId w:val="2"/>
        </w:numPr>
        <w:spacing w:line="276" w:lineRule="auto"/>
        <w:ind w:left="709"/>
        <w:jc w:val="both"/>
        <w:rPr>
          <w:b/>
          <w:bCs/>
          <w:color w:val="333333"/>
        </w:rPr>
      </w:pPr>
      <w:r w:rsidRPr="00020D3E">
        <w:rPr>
          <w:b/>
          <w:bCs/>
          <w:color w:val="333333"/>
        </w:rPr>
        <w:t>směnkou</w:t>
      </w:r>
      <w:r w:rsidRPr="00020D3E">
        <w:rPr>
          <w:color w:val="333333"/>
        </w:rPr>
        <w:t xml:space="preserve"> můžeme ručit určitou obchodní transakci, </w:t>
      </w:r>
    </w:p>
    <w:p w:rsidR="00020D3E" w:rsidRDefault="007D2973" w:rsidP="00020D3E">
      <w:pPr>
        <w:pStyle w:val="Odstavecseseznamem"/>
        <w:numPr>
          <w:ilvl w:val="1"/>
          <w:numId w:val="2"/>
        </w:numPr>
        <w:spacing w:after="200" w:line="276" w:lineRule="auto"/>
        <w:ind w:left="709"/>
        <w:jc w:val="both"/>
        <w:rPr>
          <w:b/>
          <w:bCs/>
          <w:color w:val="333333"/>
        </w:rPr>
      </w:pPr>
      <w:r w:rsidRPr="00020D3E">
        <w:rPr>
          <w:b/>
          <w:bCs/>
          <w:color w:val="333333"/>
        </w:rPr>
        <w:t>směnka</w:t>
      </w:r>
      <w:r w:rsidRPr="00020D3E">
        <w:rPr>
          <w:color w:val="333333"/>
        </w:rPr>
        <w:t xml:space="preserve"> může být součástí dokumentárního akreditivu, používaného především při obchodech se zahraničím, </w:t>
      </w:r>
    </w:p>
    <w:p w:rsidR="00020D3E" w:rsidRDefault="007D2973" w:rsidP="00020D3E">
      <w:pPr>
        <w:pStyle w:val="Odstavecseseznamem"/>
        <w:numPr>
          <w:ilvl w:val="1"/>
          <w:numId w:val="2"/>
        </w:numPr>
        <w:spacing w:after="200" w:line="276" w:lineRule="auto"/>
        <w:ind w:left="709"/>
        <w:jc w:val="both"/>
        <w:rPr>
          <w:b/>
          <w:bCs/>
          <w:color w:val="333333"/>
        </w:rPr>
      </w:pPr>
      <w:r w:rsidRPr="00020D3E">
        <w:rPr>
          <w:b/>
          <w:bCs/>
          <w:color w:val="333333"/>
        </w:rPr>
        <w:t>směnka</w:t>
      </w:r>
      <w:r w:rsidRPr="00020D3E">
        <w:rPr>
          <w:color w:val="333333"/>
        </w:rPr>
        <w:t xml:space="preserve"> se dá využít jako platidlo, </w:t>
      </w:r>
    </w:p>
    <w:p w:rsidR="00020D3E" w:rsidRDefault="007D2973" w:rsidP="00020D3E">
      <w:pPr>
        <w:pStyle w:val="Odstavecseseznamem"/>
        <w:numPr>
          <w:ilvl w:val="1"/>
          <w:numId w:val="2"/>
        </w:numPr>
        <w:spacing w:after="200" w:line="276" w:lineRule="auto"/>
        <w:ind w:left="709"/>
        <w:jc w:val="both"/>
        <w:rPr>
          <w:b/>
          <w:bCs/>
          <w:color w:val="333333"/>
        </w:rPr>
      </w:pPr>
      <w:r w:rsidRPr="00020D3E">
        <w:rPr>
          <w:b/>
          <w:bCs/>
          <w:color w:val="333333"/>
        </w:rPr>
        <w:t>směnky</w:t>
      </w:r>
      <w:r w:rsidRPr="00020D3E">
        <w:rPr>
          <w:color w:val="333333"/>
        </w:rPr>
        <w:t xml:space="preserve"> jsou jedním z cizích zdrojů krátkodobého financování firmy, </w:t>
      </w:r>
    </w:p>
    <w:p w:rsidR="00020D3E" w:rsidRDefault="007D2973" w:rsidP="00020D3E">
      <w:pPr>
        <w:pStyle w:val="Odstavecseseznamem"/>
        <w:numPr>
          <w:ilvl w:val="1"/>
          <w:numId w:val="2"/>
        </w:numPr>
        <w:spacing w:after="200" w:line="276" w:lineRule="auto"/>
        <w:ind w:left="709"/>
        <w:jc w:val="both"/>
        <w:rPr>
          <w:b/>
          <w:bCs/>
          <w:color w:val="333333"/>
        </w:rPr>
      </w:pPr>
      <w:r w:rsidRPr="00020D3E">
        <w:rPr>
          <w:b/>
          <w:bCs/>
          <w:color w:val="333333"/>
        </w:rPr>
        <w:t>směnka</w:t>
      </w:r>
      <w:r w:rsidRPr="00020D3E">
        <w:rPr>
          <w:color w:val="333333"/>
        </w:rPr>
        <w:t xml:space="preserve"> je využívána při úvěrech, </w:t>
      </w:r>
    </w:p>
    <w:p w:rsidR="007D2973" w:rsidRPr="00020D3E" w:rsidRDefault="007D2973" w:rsidP="00020D3E">
      <w:pPr>
        <w:pStyle w:val="Odstavecseseznamem"/>
        <w:numPr>
          <w:ilvl w:val="1"/>
          <w:numId w:val="2"/>
        </w:numPr>
        <w:spacing w:after="200" w:line="276" w:lineRule="auto"/>
        <w:ind w:left="709"/>
        <w:jc w:val="both"/>
        <w:rPr>
          <w:b/>
          <w:bCs/>
          <w:color w:val="333333"/>
        </w:rPr>
      </w:pPr>
      <w:r w:rsidRPr="00020D3E">
        <w:rPr>
          <w:b/>
          <w:bCs/>
          <w:color w:val="333333"/>
        </w:rPr>
        <w:t>Eskont exportních směnek</w:t>
      </w:r>
      <w:r w:rsidRPr="00020D3E">
        <w:rPr>
          <w:color w:val="333333"/>
        </w:rPr>
        <w:t xml:space="preserve"> je nástrojem proexportní politiky ze strany centrální banky na podporu přímých vývozcům zboží (v současné době není v ČR tento nástroj využíván) Použití směnek je velmi široké a obecně platí, že správně vystavená směnka (se všemi náležitostmi stanovenými zákonem) je právně lépe vymáhatelná než klasický obchodní vztah bez dalšího jištění (uzavřená kupní smlouva a běžná fakturace po dodání zboží).</w:t>
      </w:r>
      <w:r w:rsidRPr="00020D3E">
        <w:rPr>
          <w:b/>
          <w:bCs/>
          <w:color w:val="333333"/>
        </w:rPr>
        <w:t xml:space="preserve"> </w:t>
      </w:r>
    </w:p>
    <w:sectPr w:rsidR="007D2973" w:rsidRPr="00020D3E" w:rsidSect="00EA7A04">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E39" w:rsidRDefault="00D03E39" w:rsidP="00B8377C">
      <w:r>
        <w:separator/>
      </w:r>
    </w:p>
  </w:endnote>
  <w:endnote w:type="continuationSeparator" w:id="1">
    <w:p w:rsidR="00D03E39" w:rsidRDefault="00D03E39" w:rsidP="00B83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3172"/>
      <w:docPartObj>
        <w:docPartGallery w:val="Page Numbers (Bottom of Page)"/>
        <w:docPartUnique/>
      </w:docPartObj>
    </w:sdtPr>
    <w:sdtContent>
      <w:p w:rsidR="00BE3B86" w:rsidRDefault="00BE3B86">
        <w:pPr>
          <w:pStyle w:val="Zpat"/>
          <w:jc w:val="center"/>
        </w:pPr>
        <w:fldSimple w:instr=" PAGE   \* MERGEFORMAT ">
          <w:r w:rsidR="00306D8F">
            <w:rPr>
              <w:noProof/>
            </w:rPr>
            <w:t>3</w:t>
          </w:r>
        </w:fldSimple>
      </w:p>
    </w:sdtContent>
  </w:sdt>
  <w:p w:rsidR="00BE3B86" w:rsidRDefault="00BE3B8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E39" w:rsidRDefault="00D03E39" w:rsidP="00B8377C">
      <w:r>
        <w:separator/>
      </w:r>
    </w:p>
  </w:footnote>
  <w:footnote w:type="continuationSeparator" w:id="1">
    <w:p w:rsidR="00D03E39" w:rsidRDefault="00D03E39" w:rsidP="00B8377C">
      <w:r>
        <w:continuationSeparator/>
      </w:r>
    </w:p>
  </w:footnote>
  <w:footnote w:id="2">
    <w:p w:rsidR="00020D3E" w:rsidRDefault="00020D3E">
      <w:pPr>
        <w:pStyle w:val="Textpoznpodarou"/>
      </w:pPr>
      <w:r>
        <w:rPr>
          <w:rStyle w:val="Znakapoznpodarou"/>
        </w:rPr>
        <w:footnoteRef/>
      </w:r>
      <w:r>
        <w:t xml:space="preserve"> </w:t>
      </w:r>
      <w:r w:rsidRPr="00020D3E">
        <w:t>191/1950 Sb.</w:t>
      </w:r>
    </w:p>
  </w:footnote>
  <w:footnote w:id="3">
    <w:p w:rsidR="00020D3E" w:rsidRDefault="00020D3E">
      <w:pPr>
        <w:pStyle w:val="Textpoznpodarou"/>
      </w:pPr>
      <w:r>
        <w:rPr>
          <w:rStyle w:val="Znakapoznpodarou"/>
        </w:rPr>
        <w:footnoteRef/>
      </w:r>
      <w:r>
        <w:t xml:space="preserve"> </w:t>
      </w:r>
      <w:r w:rsidRPr="00020D3E">
        <w:t>591/1992 Sb.</w:t>
      </w:r>
    </w:p>
  </w:footnote>
  <w:footnote w:id="4">
    <w:p w:rsidR="0098652A" w:rsidRPr="007D2973" w:rsidRDefault="0098652A" w:rsidP="007D2973">
      <w:pPr>
        <w:pStyle w:val="Textpoznpodarou"/>
        <w:jc w:val="both"/>
      </w:pPr>
      <w:r w:rsidRPr="007D2973">
        <w:rPr>
          <w:rStyle w:val="Znakapoznpodarou"/>
        </w:rPr>
        <w:footnoteRef/>
      </w:r>
      <w:r w:rsidRPr="007D2973">
        <w:t xml:space="preserve"> Zdánlivě protikladnou tendenci, tj. rozšíření počtu účastníků základní směnky, vykazuje tzv. komisionářská směnka. Je upravena v §3/3 SŠZ. Zde se jen potvrzuje to, co by platilo i bez výslovné úpravy – totiž že směnku lze vystavit na účet třetí osoby (lze tak učinit např. doložkou „zúčtujte k pohledávce N. N.“). Do Jednotného směnečného zákona se toto redundantní ustanovení dostalo zřejmě proto, že v některých státech, zejména z oblasti práva francouzského vznikaly pochybnosti, zda taková doložka nečiní směnku neplatnou. Komisionářkou směnkou se samozřejmě nerozšiřuje počet účastníků klauzule na směnce, jen vyjasňuje účel a cíle vystavení směnky; účastníkem směnky je stále uvedený výstavce. Čistě z pohledu směnečného práva tedy doložka žádný význam nemá. V naší praxi je komisionářská směnka poměrně vzácným hostem; tu a tam se s ní setkáme v bankovní praxi.</w:t>
      </w:r>
    </w:p>
  </w:footnote>
  <w:footnote w:id="5">
    <w:p w:rsidR="007D2973" w:rsidRPr="007D2973" w:rsidRDefault="007D2973" w:rsidP="007D2973">
      <w:pPr>
        <w:pStyle w:val="Textpoznpodarou"/>
        <w:jc w:val="both"/>
      </w:pPr>
      <w:r w:rsidRPr="007D2973">
        <w:rPr>
          <w:rStyle w:val="Znakapoznpodarou"/>
        </w:rPr>
        <w:footnoteRef/>
      </w:r>
      <w:r w:rsidRPr="007D2973">
        <w:t xml:space="preserve"> Směnka na viděnou se stává splatnou v okamžiku jejího předložení k placení – musí být předložena k placení do jednoho roku od data vystavení (výstavce může tuto lhůtu zkrátit nebo určit lhůtu delší). Je tomu tak proto, aby v právních vztazích nebyla dlouhodobá právní nejistota. Roční lhůta začíná běžet dnem, který následuje po datu vystavení směnky. Pakliže nebude lhůta dodržena, většinou zaniká závazek dlužníka (výstavce) platit. Výstavce také může určit, že směnka na viděnou nesmí být předložena k placení před určitým dnem (v tomto případě začíná lhůta k předložení od tohoto dne). Směnka může být k placení řádně předložena pouze v pracovní den v době od deváté hodiny ranní do šesté hodiny večerní.</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21E16"/>
    <w:multiLevelType w:val="hybridMultilevel"/>
    <w:tmpl w:val="E51889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2A1E2B"/>
    <w:multiLevelType w:val="hybridMultilevel"/>
    <w:tmpl w:val="0DA25D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DAB3C6B"/>
    <w:multiLevelType w:val="multilevel"/>
    <w:tmpl w:val="FC0CFD0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nsid w:val="43E32EE7"/>
    <w:multiLevelType w:val="hybridMultilevel"/>
    <w:tmpl w:val="51C2E236"/>
    <w:lvl w:ilvl="0" w:tplc="04050011">
      <w:start w:val="1"/>
      <w:numFmt w:val="decimal"/>
      <w:lvlText w:val="%1)"/>
      <w:lvlJc w:val="left"/>
      <w:pPr>
        <w:ind w:left="720" w:hanging="360"/>
      </w:pPr>
      <w:rPr>
        <w:rFonts w:hint="default"/>
      </w:rPr>
    </w:lvl>
    <w:lvl w:ilvl="1" w:tplc="E696B366">
      <w:start w:val="1"/>
      <w:numFmt w:val="decimal"/>
      <w:lvlText w:val="%2."/>
      <w:lvlJc w:val="left"/>
      <w:pPr>
        <w:ind w:left="1470" w:hanging="39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EDC117E"/>
    <w:multiLevelType w:val="hybridMultilevel"/>
    <w:tmpl w:val="D1D095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392479A"/>
    <w:multiLevelType w:val="hybridMultilevel"/>
    <w:tmpl w:val="5EEE6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02BE7"/>
    <w:rsid w:val="00007FF7"/>
    <w:rsid w:val="00020D3E"/>
    <w:rsid w:val="00052920"/>
    <w:rsid w:val="00141293"/>
    <w:rsid w:val="00215AA7"/>
    <w:rsid w:val="00306D8F"/>
    <w:rsid w:val="00461080"/>
    <w:rsid w:val="005964B6"/>
    <w:rsid w:val="0064342F"/>
    <w:rsid w:val="0071180A"/>
    <w:rsid w:val="007D2973"/>
    <w:rsid w:val="0086289A"/>
    <w:rsid w:val="008E7EDB"/>
    <w:rsid w:val="0098652A"/>
    <w:rsid w:val="00A0541E"/>
    <w:rsid w:val="00A4135E"/>
    <w:rsid w:val="00B02BE7"/>
    <w:rsid w:val="00B8377C"/>
    <w:rsid w:val="00BE3B86"/>
    <w:rsid w:val="00BE5453"/>
    <w:rsid w:val="00C60762"/>
    <w:rsid w:val="00C70F19"/>
    <w:rsid w:val="00CE13F4"/>
    <w:rsid w:val="00D03E39"/>
    <w:rsid w:val="00E03FE2"/>
    <w:rsid w:val="00E0524A"/>
    <w:rsid w:val="00E72D60"/>
    <w:rsid w:val="00EA7A04"/>
    <w:rsid w:val="00F04F49"/>
    <w:rsid w:val="00FD7FB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2BE7"/>
    <w:pPr>
      <w:spacing w:after="0" w:line="240" w:lineRule="auto"/>
    </w:pPr>
    <w:rPr>
      <w:rFonts w:ascii="Bookman Old Style" w:eastAsia="Times New Roman" w:hAnsi="Bookman Old Style" w:cs="Times New Roman"/>
      <w:sz w:val="24"/>
      <w:szCs w:val="24"/>
      <w:lang w:eastAsia="cs-CZ"/>
    </w:rPr>
  </w:style>
  <w:style w:type="paragraph" w:styleId="Nadpis1">
    <w:name w:val="heading 1"/>
    <w:basedOn w:val="Normln"/>
    <w:next w:val="Normln"/>
    <w:link w:val="Nadpis1Char"/>
    <w:qFormat/>
    <w:rsid w:val="00B02BE7"/>
    <w:pPr>
      <w:keepNext/>
      <w:jc w:val="both"/>
      <w:outlineLvl w:val="0"/>
    </w:pPr>
    <w:rPr>
      <w:rFonts w:ascii="Arial" w:hAnsi="Arial"/>
      <w:b/>
      <w:sz w:val="22"/>
    </w:rPr>
  </w:style>
  <w:style w:type="paragraph" w:styleId="Nadpis2">
    <w:name w:val="heading 2"/>
    <w:basedOn w:val="Normln"/>
    <w:next w:val="Normln"/>
    <w:link w:val="Nadpis2Char"/>
    <w:qFormat/>
    <w:rsid w:val="00B02BE7"/>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2BE7"/>
    <w:rPr>
      <w:rFonts w:ascii="Arial" w:eastAsia="Times New Roman" w:hAnsi="Arial" w:cs="Times New Roman"/>
      <w:b/>
      <w:szCs w:val="24"/>
      <w:lang w:eastAsia="cs-CZ"/>
    </w:rPr>
  </w:style>
  <w:style w:type="character" w:customStyle="1" w:styleId="Nadpis2Char">
    <w:name w:val="Nadpis 2 Char"/>
    <w:basedOn w:val="Standardnpsmoodstavce"/>
    <w:link w:val="Nadpis2"/>
    <w:rsid w:val="00B02BE7"/>
    <w:rPr>
      <w:rFonts w:ascii="Arial" w:eastAsia="Times New Roman" w:hAnsi="Arial" w:cs="Arial"/>
      <w:b/>
      <w:bCs/>
      <w:i/>
      <w:iCs/>
      <w:sz w:val="28"/>
      <w:szCs w:val="28"/>
      <w:lang w:eastAsia="cs-CZ"/>
    </w:rPr>
  </w:style>
  <w:style w:type="paragraph" w:styleId="Bezmezer">
    <w:name w:val="No Spacing"/>
    <w:link w:val="BezmezerChar"/>
    <w:uiPriority w:val="1"/>
    <w:qFormat/>
    <w:rsid w:val="00B02BE7"/>
    <w:pPr>
      <w:spacing w:after="0" w:line="240" w:lineRule="auto"/>
    </w:pPr>
    <w:rPr>
      <w:rFonts w:eastAsiaTheme="minorEastAsia"/>
    </w:rPr>
  </w:style>
  <w:style w:type="character" w:customStyle="1" w:styleId="BezmezerChar">
    <w:name w:val="Bez mezer Char"/>
    <w:basedOn w:val="Standardnpsmoodstavce"/>
    <w:link w:val="Bezmezer"/>
    <w:uiPriority w:val="1"/>
    <w:rsid w:val="00B02BE7"/>
    <w:rPr>
      <w:rFonts w:eastAsiaTheme="minorEastAsia"/>
    </w:rPr>
  </w:style>
  <w:style w:type="paragraph" w:styleId="Nzev">
    <w:name w:val="Title"/>
    <w:basedOn w:val="Normln"/>
    <w:link w:val="NzevChar"/>
    <w:qFormat/>
    <w:rsid w:val="00B02BE7"/>
    <w:pPr>
      <w:jc w:val="center"/>
    </w:pPr>
    <w:rPr>
      <w:b/>
      <w:bCs/>
      <w:sz w:val="32"/>
      <w:u w:val="single"/>
    </w:rPr>
  </w:style>
  <w:style w:type="character" w:customStyle="1" w:styleId="NzevChar">
    <w:name w:val="Název Char"/>
    <w:basedOn w:val="Standardnpsmoodstavce"/>
    <w:link w:val="Nzev"/>
    <w:rsid w:val="00B02BE7"/>
    <w:rPr>
      <w:rFonts w:ascii="Bookman Old Style" w:eastAsia="Times New Roman" w:hAnsi="Bookman Old Style" w:cs="Times New Roman"/>
      <w:b/>
      <w:bCs/>
      <w:sz w:val="32"/>
      <w:szCs w:val="24"/>
      <w:u w:val="single"/>
      <w:lang w:eastAsia="cs-CZ"/>
    </w:rPr>
  </w:style>
  <w:style w:type="paragraph" w:styleId="Podtitul">
    <w:name w:val="Subtitle"/>
    <w:basedOn w:val="Normln"/>
    <w:next w:val="Normln"/>
    <w:link w:val="PodtitulChar"/>
    <w:qFormat/>
    <w:rsid w:val="00B02BE7"/>
    <w:pPr>
      <w:spacing w:after="60"/>
      <w:jc w:val="center"/>
      <w:outlineLvl w:val="1"/>
    </w:pPr>
    <w:rPr>
      <w:rFonts w:ascii="Cambria" w:hAnsi="Cambria"/>
    </w:rPr>
  </w:style>
  <w:style w:type="character" w:customStyle="1" w:styleId="PodtitulChar">
    <w:name w:val="Podtitul Char"/>
    <w:basedOn w:val="Standardnpsmoodstavce"/>
    <w:link w:val="Podtitul"/>
    <w:rsid w:val="00B02BE7"/>
    <w:rPr>
      <w:rFonts w:ascii="Cambria" w:eastAsia="Times New Roman" w:hAnsi="Cambria" w:cs="Times New Roman"/>
      <w:sz w:val="24"/>
      <w:szCs w:val="24"/>
      <w:lang w:eastAsia="cs-CZ"/>
    </w:rPr>
  </w:style>
  <w:style w:type="paragraph" w:styleId="Textbubliny">
    <w:name w:val="Balloon Text"/>
    <w:basedOn w:val="Normln"/>
    <w:link w:val="TextbublinyChar"/>
    <w:uiPriority w:val="99"/>
    <w:semiHidden/>
    <w:unhideWhenUsed/>
    <w:rsid w:val="00B02BE7"/>
    <w:rPr>
      <w:rFonts w:ascii="Tahoma" w:hAnsi="Tahoma" w:cs="Tahoma"/>
      <w:sz w:val="16"/>
      <w:szCs w:val="16"/>
    </w:rPr>
  </w:style>
  <w:style w:type="character" w:customStyle="1" w:styleId="TextbublinyChar">
    <w:name w:val="Text bubliny Char"/>
    <w:basedOn w:val="Standardnpsmoodstavce"/>
    <w:link w:val="Textbubliny"/>
    <w:uiPriority w:val="99"/>
    <w:semiHidden/>
    <w:rsid w:val="00B02BE7"/>
    <w:rPr>
      <w:rFonts w:ascii="Tahoma" w:eastAsia="Times New Roman" w:hAnsi="Tahoma" w:cs="Tahoma"/>
      <w:sz w:val="16"/>
      <w:szCs w:val="16"/>
      <w:lang w:eastAsia="cs-CZ"/>
    </w:rPr>
  </w:style>
  <w:style w:type="paragraph" w:styleId="Odstavecseseznamem">
    <w:name w:val="List Paragraph"/>
    <w:basedOn w:val="Normln"/>
    <w:uiPriority w:val="34"/>
    <w:qFormat/>
    <w:rsid w:val="005964B6"/>
    <w:pPr>
      <w:ind w:left="720"/>
      <w:contextualSpacing/>
    </w:pPr>
  </w:style>
  <w:style w:type="paragraph" w:styleId="Textpoznpodarou">
    <w:name w:val="footnote text"/>
    <w:basedOn w:val="Normln"/>
    <w:link w:val="TextpoznpodarouChar"/>
    <w:uiPriority w:val="99"/>
    <w:semiHidden/>
    <w:unhideWhenUsed/>
    <w:rsid w:val="00B8377C"/>
    <w:rPr>
      <w:sz w:val="20"/>
      <w:szCs w:val="20"/>
    </w:rPr>
  </w:style>
  <w:style w:type="character" w:customStyle="1" w:styleId="TextpoznpodarouChar">
    <w:name w:val="Text pozn. pod čarou Char"/>
    <w:basedOn w:val="Standardnpsmoodstavce"/>
    <w:link w:val="Textpoznpodarou"/>
    <w:uiPriority w:val="99"/>
    <w:semiHidden/>
    <w:rsid w:val="00B8377C"/>
    <w:rPr>
      <w:rFonts w:ascii="Bookman Old Style" w:eastAsia="Times New Roman" w:hAnsi="Bookman Old Style" w:cs="Times New Roman"/>
      <w:sz w:val="20"/>
      <w:szCs w:val="20"/>
      <w:lang w:eastAsia="cs-CZ"/>
    </w:rPr>
  </w:style>
  <w:style w:type="character" w:styleId="Znakapoznpodarou">
    <w:name w:val="footnote reference"/>
    <w:basedOn w:val="Standardnpsmoodstavce"/>
    <w:uiPriority w:val="99"/>
    <w:semiHidden/>
    <w:unhideWhenUsed/>
    <w:rsid w:val="00B8377C"/>
    <w:rPr>
      <w:vertAlign w:val="superscript"/>
    </w:rPr>
  </w:style>
  <w:style w:type="paragraph" w:styleId="Zhlav">
    <w:name w:val="header"/>
    <w:basedOn w:val="Normln"/>
    <w:link w:val="ZhlavChar"/>
    <w:uiPriority w:val="99"/>
    <w:semiHidden/>
    <w:unhideWhenUsed/>
    <w:rsid w:val="00BE3B86"/>
    <w:pPr>
      <w:tabs>
        <w:tab w:val="center" w:pos="4536"/>
        <w:tab w:val="right" w:pos="9072"/>
      </w:tabs>
    </w:pPr>
  </w:style>
  <w:style w:type="character" w:customStyle="1" w:styleId="ZhlavChar">
    <w:name w:val="Záhlaví Char"/>
    <w:basedOn w:val="Standardnpsmoodstavce"/>
    <w:link w:val="Zhlav"/>
    <w:uiPriority w:val="99"/>
    <w:semiHidden/>
    <w:rsid w:val="00BE3B86"/>
    <w:rPr>
      <w:rFonts w:ascii="Bookman Old Style" w:eastAsia="Times New Roman" w:hAnsi="Bookman Old Style" w:cs="Times New Roman"/>
      <w:sz w:val="24"/>
      <w:szCs w:val="24"/>
      <w:lang w:eastAsia="cs-CZ"/>
    </w:rPr>
  </w:style>
  <w:style w:type="paragraph" w:styleId="Zpat">
    <w:name w:val="footer"/>
    <w:basedOn w:val="Normln"/>
    <w:link w:val="ZpatChar"/>
    <w:uiPriority w:val="99"/>
    <w:unhideWhenUsed/>
    <w:rsid w:val="00BE3B86"/>
    <w:pPr>
      <w:tabs>
        <w:tab w:val="center" w:pos="4536"/>
        <w:tab w:val="right" w:pos="9072"/>
      </w:tabs>
    </w:pPr>
  </w:style>
  <w:style w:type="character" w:customStyle="1" w:styleId="ZpatChar">
    <w:name w:val="Zápatí Char"/>
    <w:basedOn w:val="Standardnpsmoodstavce"/>
    <w:link w:val="Zpat"/>
    <w:uiPriority w:val="99"/>
    <w:rsid w:val="00BE3B86"/>
    <w:rPr>
      <w:rFonts w:ascii="Bookman Old Style" w:eastAsia="Times New Roman" w:hAnsi="Bookman Old Style"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2009-10-20T00:00:00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FEEB3F-FBEA-44D2-B3FE-5FDA83E96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13</Pages>
  <Words>2902</Words>
  <Characters>17122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Směnka vlastní</vt:lpstr>
    </vt:vector>
  </TitlesOfParts>
  <Company>V Plzni</Company>
  <LinksUpToDate>false</LinksUpToDate>
  <CharactersWithSpaces>19985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Směnka vlastní</dc:title>
  <dc:creator>Eliška</dc:creator>
  <cp:lastModifiedBy>Eliška Smetanová</cp:lastModifiedBy>
  <cp:revision>2</cp:revision>
  <dcterms:created xsi:type="dcterms:W3CDTF">2009-10-01T13:06:00Z</dcterms:created>
  <dcterms:modified xsi:type="dcterms:W3CDTF">2009-10-02T19:48:00Z</dcterms:modified>
</cp:coreProperties>
</file>